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B" w:rsidRPr="00B52EBF" w:rsidRDefault="007E7F1B" w:rsidP="00C00FD4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B52EBF">
        <w:rPr>
          <w:rFonts w:ascii="Book Antiqua" w:hAnsi="Book Antiqua"/>
          <w:noProof/>
          <w:lang w:eastAsia="ru-RU"/>
        </w:rPr>
        <w:drawing>
          <wp:inline distT="0" distB="0" distL="0" distR="0" wp14:anchorId="708B0588" wp14:editId="20601670">
            <wp:extent cx="638175" cy="7715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B52EBF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E7F1B" w:rsidRPr="00B52EBF" w:rsidTr="00A002CF">
        <w:tc>
          <w:tcPr>
            <w:tcW w:w="3190" w:type="dxa"/>
          </w:tcPr>
          <w:p w:rsidR="007E7F1B" w:rsidRPr="00B52EBF" w:rsidRDefault="007E7F1B" w:rsidP="00A002CF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7E7F1B" w:rsidRPr="00B52EBF" w:rsidRDefault="00C00FD4" w:rsidP="00A002CF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7E7F1B"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10"/>
          <w:szCs w:val="10"/>
          <w:u w:val="single"/>
        </w:rPr>
      </w:pP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C00FD4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9/58</w:t>
      </w: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7E7F1B" w:rsidRPr="00B52EBF" w:rsidTr="00A002CF">
        <w:tc>
          <w:tcPr>
            <w:tcW w:w="4728" w:type="dxa"/>
          </w:tcPr>
          <w:p w:rsidR="007E7F1B" w:rsidRPr="00B52EBF" w:rsidRDefault="00C00FD4" w:rsidP="00C00FD4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25.07.</w:t>
            </w:r>
            <w:r w:rsidR="007E7F1B" w:rsidRPr="00C00FD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7E7F1B" w:rsidRPr="00B52EBF">
              <w:rPr>
                <w:rFonts w:ascii="Book Antiqua" w:hAnsi="Book Antiqua" w:cs="Book Antiqua"/>
                <w:sz w:val="24"/>
                <w:szCs w:val="24"/>
              </w:rPr>
              <w:t>2017 года</w:t>
            </w:r>
          </w:p>
        </w:tc>
        <w:tc>
          <w:tcPr>
            <w:tcW w:w="4733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52EBF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</w:rPr>
      </w:pPr>
    </w:p>
    <w:p w:rsidR="00B16466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 w:rsidR="007E7F1B" w:rsidRPr="00A30961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 w:rsidR="00B16466">
        <w:rPr>
          <w:rFonts w:ascii="Book Antiqua" w:hAnsi="Book Antiqua" w:cs="Book Antiqua"/>
          <w:b/>
          <w:bCs/>
          <w:iCs/>
          <w:lang w:val="en-US"/>
        </w:rPr>
        <w:t>I</w:t>
      </w:r>
      <w:r w:rsidR="00AB1AF6">
        <w:rPr>
          <w:rFonts w:ascii="Book Antiqua" w:hAnsi="Book Antiqua" w:cs="Book Antiqua"/>
          <w:b/>
          <w:bCs/>
          <w:iCs/>
          <w:lang w:val="en-US"/>
        </w:rPr>
        <w:t>I</w:t>
      </w:r>
      <w:r w:rsidR="00B16466" w:rsidRPr="00B16466">
        <w:rPr>
          <w:rFonts w:ascii="Book Antiqua" w:hAnsi="Book Antiqua" w:cs="Book Antiqua"/>
          <w:b/>
          <w:bCs/>
          <w:iCs/>
        </w:rPr>
        <w:t xml:space="preserve"> </w:t>
      </w:r>
      <w:r w:rsidR="00B16466">
        <w:rPr>
          <w:rFonts w:ascii="Book Antiqua" w:hAnsi="Book Antiqua" w:cs="Book Antiqua"/>
          <w:b/>
          <w:bCs/>
          <w:iCs/>
        </w:rPr>
        <w:t xml:space="preserve">квартал </w:t>
      </w:r>
      <w:r w:rsidRPr="00A30961">
        <w:rPr>
          <w:rFonts w:ascii="Book Antiqua" w:hAnsi="Book Antiqua" w:cs="Book Antiqua"/>
          <w:b/>
          <w:bCs/>
          <w:iCs/>
        </w:rPr>
        <w:t>201</w:t>
      </w:r>
      <w:r w:rsidR="00B16466">
        <w:rPr>
          <w:rFonts w:ascii="Book Antiqua" w:hAnsi="Book Antiqua" w:cs="Book Antiqua"/>
          <w:b/>
          <w:bCs/>
          <w:iCs/>
        </w:rPr>
        <w:t>7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 w:rsidR="00B16466">
        <w:rPr>
          <w:rFonts w:ascii="Book Antiqua" w:hAnsi="Book Antiqua" w:cs="Book Antiqua"/>
          <w:b/>
          <w:bCs/>
          <w:iCs/>
        </w:rPr>
        <w:t>а</w:t>
      </w:r>
    </w:p>
    <w:p w:rsidR="007E7F1B" w:rsidRPr="00A30961" w:rsidRDefault="007E7F1B" w:rsidP="007E7F1B">
      <w:pPr>
        <w:pStyle w:val="a5"/>
        <w:rPr>
          <w:rFonts w:ascii="Book Antiqua" w:hAnsi="Book Antiqua" w:cs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spacing w:val="-3"/>
        </w:rPr>
      </w:pPr>
      <w:r w:rsidRPr="00A30961">
        <w:rPr>
          <w:rFonts w:ascii="Book Antiqua" w:hAnsi="Book Antiqua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</w:t>
      </w:r>
      <w:r w:rsidR="0018352D">
        <w:rPr>
          <w:rFonts w:ascii="Book Antiqua" w:hAnsi="Book Antiqua"/>
        </w:rPr>
        <w:t xml:space="preserve">за </w:t>
      </w:r>
      <w:r w:rsidR="0018352D">
        <w:rPr>
          <w:rFonts w:ascii="Book Antiqua" w:hAnsi="Book Antiqua"/>
          <w:lang w:val="en-US"/>
        </w:rPr>
        <w:t>I</w:t>
      </w:r>
      <w:r w:rsidR="00AB1AF6">
        <w:rPr>
          <w:rFonts w:ascii="Book Antiqua" w:hAnsi="Book Antiqua"/>
          <w:lang w:val="en-US"/>
        </w:rPr>
        <w:t>I</w:t>
      </w:r>
      <w:r w:rsidR="0018352D">
        <w:rPr>
          <w:rFonts w:ascii="Book Antiqua" w:hAnsi="Book Antiqua"/>
        </w:rPr>
        <w:t xml:space="preserve"> квартал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Pr="00A30961">
        <w:rPr>
          <w:rFonts w:ascii="Book Antiqua" w:hAnsi="Book Antiqua"/>
          <w:spacing w:val="-1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9"/>
        </w:rPr>
        <w:t>о</w:t>
      </w:r>
      <w:r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 xml:space="preserve">, в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1"/>
        </w:rPr>
        <w:t>в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твии с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</w:rPr>
        <w:t>п.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</w:rPr>
        <w:t>5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21"/>
        </w:rPr>
        <w:t>т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1"/>
        </w:rPr>
        <w:t>264</w:t>
      </w:r>
      <w:r w:rsidRPr="00A30961">
        <w:rPr>
          <w:rFonts w:ascii="Book Antiqua" w:hAnsi="Book Antiqua"/>
        </w:rPr>
        <w:t>.2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"/>
        </w:rPr>
        <w:t xml:space="preserve"> 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де</w:t>
      </w:r>
      <w:r w:rsidRPr="00A30961">
        <w:rPr>
          <w:rFonts w:ascii="Book Antiqua" w:hAnsi="Book Antiqua"/>
          <w:spacing w:val="-7"/>
        </w:rPr>
        <w:t>к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-7"/>
        </w:rPr>
        <w:t>Р</w:t>
      </w:r>
      <w:r w:rsidRPr="00A30961">
        <w:rPr>
          <w:rFonts w:ascii="Book Antiqua" w:hAnsi="Book Antiqua"/>
          <w:spacing w:val="8"/>
        </w:rPr>
        <w:t>о</w:t>
      </w:r>
      <w:r w:rsidRPr="00A30961">
        <w:rPr>
          <w:rFonts w:ascii="Book Antiqua" w:hAnsi="Book Antiqua"/>
          <w:spacing w:val="1"/>
        </w:rPr>
        <w:t>с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2"/>
        </w:rPr>
        <w:t>й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й Ф</w:t>
      </w:r>
      <w:r w:rsidRPr="00A30961">
        <w:rPr>
          <w:rFonts w:ascii="Book Antiqua" w:hAnsi="Book Antiqua"/>
          <w:spacing w:val="-4"/>
        </w:rPr>
        <w:t>е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2"/>
        </w:rPr>
        <w:t>и</w:t>
      </w:r>
      <w:r w:rsidRPr="00A30961">
        <w:rPr>
          <w:rFonts w:ascii="Book Antiqua" w:hAnsi="Book Antiqua"/>
        </w:rPr>
        <w:t>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</w:t>
      </w:r>
      <w:r w:rsidRPr="00A30961">
        <w:rPr>
          <w:rFonts w:ascii="Book Antiqua" w:hAnsi="Book Antiqua"/>
          <w:spacing w:val="-7"/>
        </w:rPr>
        <w:t>о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</w:t>
      </w:r>
      <w:r w:rsidRPr="00A30961">
        <w:rPr>
          <w:rFonts w:ascii="Book Antiqua" w:hAnsi="Book Antiqua"/>
          <w:spacing w:val="2"/>
        </w:rPr>
        <w:t xml:space="preserve">ием 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2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1"/>
        </w:rPr>
        <w:t>ро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7"/>
        </w:rPr>
        <w:t>е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3"/>
        </w:rPr>
        <w:t>с</w:t>
      </w:r>
      <w:r w:rsidRPr="00A30961">
        <w:rPr>
          <w:rFonts w:ascii="Book Antiqua" w:hAnsi="Book Antiqua"/>
        </w:rPr>
        <w:t>е</w:t>
      </w:r>
      <w:r w:rsidRPr="00A30961">
        <w:rPr>
          <w:rFonts w:ascii="Book Antiqua" w:hAnsi="Book Antiqua"/>
          <w:spacing w:val="7"/>
        </w:rPr>
        <w:t xml:space="preserve"> 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</w:rPr>
        <w:t>вн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1"/>
        </w:rPr>
        <w:t>о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  <w:spacing w:val="-2"/>
        </w:rPr>
        <w:t>з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нии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1"/>
        </w:rPr>
        <w:t>ор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-1"/>
        </w:rPr>
        <w:t>д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3"/>
        </w:rPr>
        <w:t>т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ля</w:t>
      </w:r>
      <w:r w:rsidRPr="00A30961">
        <w:rPr>
          <w:rFonts w:ascii="Book Antiqua" w:hAnsi="Book Antiqua"/>
          <w:spacing w:val="6"/>
        </w:rPr>
        <w:t xml:space="preserve"> </w:t>
      </w:r>
      <w:r w:rsidRPr="00A30961">
        <w:rPr>
          <w:rFonts w:ascii="Book Antiqua" w:hAnsi="Book Antiqua"/>
          <w:spacing w:val="-7"/>
        </w:rPr>
        <w:t>Качинский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ы</w:t>
      </w:r>
      <w:r w:rsidRPr="00A30961">
        <w:rPr>
          <w:rFonts w:ascii="Book Antiqua" w:hAnsi="Book Antiqua"/>
        </w:rPr>
        <w:t xml:space="preserve">й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-30"/>
        </w:rPr>
        <w:t>г</w:t>
      </w:r>
      <w:r w:rsidRPr="00A30961">
        <w:rPr>
          <w:rFonts w:ascii="Book Antiqua" w:hAnsi="Book Antiqua"/>
        </w:rPr>
        <w:t>,</w:t>
      </w:r>
      <w:r w:rsidRPr="00A30961">
        <w:rPr>
          <w:rFonts w:ascii="Book Antiqua" w:hAnsi="Book Antiqua"/>
          <w:spacing w:val="12"/>
        </w:rPr>
        <w:t xml:space="preserve"> 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ж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нным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еш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</w:rPr>
        <w:t>ни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2"/>
        </w:rPr>
        <w:t>о</w:t>
      </w:r>
      <w:r w:rsidRPr="00A30961">
        <w:rPr>
          <w:rFonts w:ascii="Book Antiqua" w:hAnsi="Book Antiqua"/>
          <w:spacing w:val="-1"/>
        </w:rPr>
        <w:t>ве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6"/>
        </w:rPr>
        <w:t>Качинского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-18"/>
        </w:rPr>
        <w:t xml:space="preserve">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уг</w:t>
      </w:r>
      <w:r w:rsidRPr="00A30961">
        <w:rPr>
          <w:rFonts w:ascii="Book Antiqua" w:hAnsi="Book Antiqua"/>
        </w:rPr>
        <w:t xml:space="preserve">а 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3"/>
        </w:rPr>
        <w:t xml:space="preserve"> </w:t>
      </w:r>
      <w:r w:rsidRPr="00A30961">
        <w:rPr>
          <w:rFonts w:ascii="Book Antiqua" w:hAnsi="Book Antiqua"/>
          <w:spacing w:val="1"/>
        </w:rPr>
        <w:t>02.07.2015</w:t>
      </w:r>
      <w:r w:rsidRPr="00A30961">
        <w:rPr>
          <w:rFonts w:ascii="Book Antiqua" w:hAnsi="Book Antiqua"/>
          <w:spacing w:val="-31"/>
        </w:rPr>
        <w:t>г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-7"/>
        </w:rPr>
        <w:t xml:space="preserve"> </w:t>
      </w:r>
      <w:r w:rsidRPr="00A30961">
        <w:rPr>
          <w:rFonts w:ascii="Book Antiqua" w:hAnsi="Book Antiqua"/>
        </w:rPr>
        <w:t>№</w:t>
      </w:r>
      <w:r w:rsidRPr="00A30961">
        <w:rPr>
          <w:rFonts w:ascii="Book Antiqua" w:hAnsi="Book Antiqua"/>
          <w:spacing w:val="-4"/>
        </w:rPr>
        <w:t xml:space="preserve"> 20,</w:t>
      </w:r>
      <w:r w:rsidRPr="00A30961">
        <w:rPr>
          <w:rFonts w:ascii="Book Antiqua" w:hAnsi="Book Antiqua"/>
          <w:spacing w:val="-3"/>
        </w:rPr>
        <w:t xml:space="preserve"> 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РЕШИЛ:</w:t>
      </w:r>
    </w:p>
    <w:p w:rsidR="007E7F1B" w:rsidRPr="00A30961" w:rsidRDefault="007E7F1B" w:rsidP="007E7F1B">
      <w:pPr>
        <w:spacing w:after="0" w:line="240" w:lineRule="auto"/>
        <w:rPr>
          <w:rFonts w:ascii="Book Antiqua" w:hAnsi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 xml:space="preserve">1. </w:t>
      </w:r>
      <w:r w:rsidR="00B374A8" w:rsidRPr="00686536">
        <w:rPr>
          <w:rFonts w:ascii="Book Antiqua" w:hAnsi="Book Antiqua"/>
          <w:sz w:val="24"/>
          <w:szCs w:val="24"/>
        </w:rPr>
        <w:t>Принять к сведению</w:t>
      </w:r>
      <w:r w:rsidRPr="00A30961">
        <w:rPr>
          <w:rFonts w:ascii="Book Antiqua" w:hAnsi="Book Antiqua"/>
        </w:rPr>
        <w:t xml:space="preserve"> отчет об исполнении бюджета внутригородского муниципального образования города Севастополя Качинский муниципальный округ </w:t>
      </w:r>
      <w:r w:rsidR="0018352D">
        <w:rPr>
          <w:rFonts w:ascii="Book Antiqua" w:hAnsi="Book Antiqua"/>
        </w:rPr>
        <w:t xml:space="preserve">за </w:t>
      </w:r>
      <w:r w:rsidR="00100E8D" w:rsidRPr="00100E8D">
        <w:rPr>
          <w:rFonts w:ascii="Book Antiqua" w:hAnsi="Book Antiqua"/>
        </w:rPr>
        <w:t>1 полугодие</w:t>
      </w:r>
      <w:r w:rsidR="0018352D" w:rsidRPr="00A30961">
        <w:rPr>
          <w:rFonts w:ascii="Book Antiqua" w:hAnsi="Book Antiqua"/>
        </w:rPr>
        <w:t xml:space="preserve"> </w:t>
      </w:r>
      <w:r w:rsidR="0018352D"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="0018352D" w:rsidRPr="00A30961">
        <w:rPr>
          <w:rFonts w:ascii="Book Antiqua" w:hAnsi="Book Antiqua"/>
          <w:spacing w:val="-1"/>
        </w:rPr>
        <w:t xml:space="preserve"> </w:t>
      </w:r>
      <w:r w:rsidR="0018352D" w:rsidRPr="00A30961">
        <w:rPr>
          <w:rFonts w:ascii="Book Antiqua" w:hAnsi="Book Antiqua"/>
          <w:spacing w:val="-7"/>
        </w:rPr>
        <w:t>г</w:t>
      </w:r>
      <w:r w:rsidR="0018352D" w:rsidRPr="00A30961">
        <w:rPr>
          <w:rFonts w:ascii="Book Antiqua" w:hAnsi="Book Antiqua"/>
          <w:spacing w:val="-9"/>
        </w:rPr>
        <w:t>о</w:t>
      </w:r>
      <w:r w:rsidR="0018352D"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>: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1.1. По доходам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 xml:space="preserve">. </w:t>
      </w:r>
      <w:r w:rsidRPr="00A30961">
        <w:rPr>
          <w:rFonts w:ascii="Book Antiqua" w:hAnsi="Book Antiqua"/>
        </w:rPr>
        <w:t>(Приложение 1);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1.2. </w:t>
      </w:r>
      <w:r w:rsidR="0059087E">
        <w:rPr>
          <w:rFonts w:ascii="Book Antiqua" w:hAnsi="Book Antiqua"/>
        </w:rPr>
        <w:t xml:space="preserve">По расходам </w:t>
      </w:r>
      <w:r w:rsidR="0059087E"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59087E">
        <w:rPr>
          <w:rFonts w:ascii="Book Antiqua" w:hAnsi="Book Antiqua"/>
        </w:rPr>
        <w:t>. (Приложение 2</w:t>
      </w:r>
      <w:r w:rsidR="0059087E" w:rsidRPr="00A30961">
        <w:rPr>
          <w:rFonts w:ascii="Book Antiqua" w:hAnsi="Book Antiqua"/>
        </w:rPr>
        <w:t>);</w:t>
      </w:r>
    </w:p>
    <w:p w:rsidR="007E7F1B" w:rsidRPr="00A30961" w:rsidRDefault="0059087E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1.3. По </w:t>
      </w:r>
      <w:r w:rsidR="007E7F1B" w:rsidRPr="00A30961">
        <w:rPr>
          <w:rFonts w:ascii="Book Antiqua" w:hAnsi="Book Antiqua"/>
        </w:rPr>
        <w:t xml:space="preserve">источникам финансирования дефицита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>. (Приложение 3</w:t>
      </w:r>
      <w:r w:rsidRPr="00A30961">
        <w:rPr>
          <w:rFonts w:ascii="Book Antiqua" w:hAnsi="Book Antiqua"/>
        </w:rPr>
        <w:t>);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2. 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3. Настоящее решение вступает в силу со дня обнародования.</w:t>
      </w:r>
    </w:p>
    <w:p w:rsidR="007E7F1B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7E7F1B" w:rsidRPr="00A30961" w:rsidTr="00A002CF">
        <w:tc>
          <w:tcPr>
            <w:tcW w:w="5070" w:type="dxa"/>
            <w:shd w:val="clear" w:color="auto" w:fill="auto"/>
            <w:vAlign w:val="center"/>
            <w:hideMark/>
          </w:tcPr>
          <w:p w:rsidR="007E7F1B" w:rsidRPr="0059087E" w:rsidRDefault="007E7F1B" w:rsidP="00A0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7E7F1B" w:rsidRPr="0059087E" w:rsidRDefault="007E7F1B" w:rsidP="00A002CF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7E7F1B" w:rsidRDefault="007E7F1B" w:rsidP="007E7F1B">
      <w:pPr>
        <w:jc w:val="center"/>
        <w:rPr>
          <w:rFonts w:ascii="Book Antiqua" w:hAnsi="Book Antiqua"/>
          <w:b/>
        </w:rPr>
        <w:sectPr w:rsidR="007E7F1B" w:rsidSect="0059087E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379"/>
        <w:gridCol w:w="1034"/>
        <w:gridCol w:w="100"/>
        <w:gridCol w:w="540"/>
        <w:gridCol w:w="1586"/>
        <w:gridCol w:w="142"/>
        <w:gridCol w:w="567"/>
        <w:gridCol w:w="992"/>
        <w:gridCol w:w="1560"/>
        <w:gridCol w:w="1559"/>
        <w:gridCol w:w="1559"/>
      </w:tblGrid>
      <w:tr w:rsidR="00621F04" w:rsidRPr="0059087E" w:rsidTr="00621F04">
        <w:trPr>
          <w:trHeight w:val="1706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F11"/>
            <w:bookmarkEnd w:id="0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C00FD4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ПРИЛОЖЕНИЕ 1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от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25.07.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 2017 г. №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9/58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100E8D" w:rsidRPr="00100E8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1 полугодие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 2017 год"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F04" w:rsidRPr="00D24A1E" w:rsidRDefault="00621F04" w:rsidP="00DC5A6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</w:p>
        </w:tc>
      </w:tr>
      <w:tr w:rsidR="00621F04" w:rsidRPr="00D24A1E" w:rsidTr="00621F04">
        <w:trPr>
          <w:trHeight w:val="304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24A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45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2017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00395406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43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Качинского МО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304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21F04" w:rsidRPr="00D24A1E" w:rsidRDefault="00621F04" w:rsidP="00D24A1E">
            <w:pPr>
              <w:pStyle w:val="ae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A1E">
              <w:rPr>
                <w:rFonts w:ascii="Arial" w:hAnsi="Arial" w:cs="Arial"/>
                <w:b/>
                <w:bCs/>
                <w:color w:val="000000"/>
              </w:rPr>
              <w:t>Доходы бюджета</w:t>
            </w:r>
          </w:p>
          <w:p w:rsidR="00621F04" w:rsidRPr="00D24A1E" w:rsidRDefault="00621F04" w:rsidP="00D24A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621F04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%</w:t>
            </w:r>
          </w:p>
          <w:p w:rsidR="00621F04" w:rsidRP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исполнения</w:t>
            </w:r>
          </w:p>
          <w:p w:rsidR="00621F04" w:rsidRPr="00621F04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21F04" w:rsidRPr="00D24A1E" w:rsidTr="00621F04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6 867 128.61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19 890 371.39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1F04" w:rsidRDefault="00621F04" w:rsidP="00621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21F04" w:rsidRDefault="00621F04" w:rsidP="00621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21F04" w:rsidRPr="00D24A1E" w:rsidRDefault="00A41F53" w:rsidP="00621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</w:tr>
      <w:tr w:rsidR="00621F04" w:rsidRPr="00D24A1E" w:rsidTr="00621F0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1 726 189.71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472 610.29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1F04" w:rsidRPr="00D24A1E" w:rsidRDefault="00621F04" w:rsidP="00621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164 926.47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254 773.53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A41F53" w:rsidP="00A4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164 926.47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254 773.53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162 998.05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256 701.95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162 993.46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256 706.54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1 561 263.24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217 836.76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A41F53" w:rsidP="00A4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000 10504000020000110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1 561 263.24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217 836.76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1 561 263.24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217 836.76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1 561 032.00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  <w:p w:rsidR="00621F04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21F04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21F04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5 140 938.90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19 417 761.10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7C4C9A" w:rsidP="00A4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5 140 938.90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19 417 761.10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01004A" w:rsidP="00010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F6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000 20215001030000151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1 171 338.90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15 447 461.10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F61542" w:rsidP="00F6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1 171 338.90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15 447 461.10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F04" w:rsidRPr="00D24A1E" w:rsidTr="0001004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F04" w:rsidRPr="00D24A1E" w:rsidRDefault="00621F04" w:rsidP="00D24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000 20230024030000151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1 171 338.90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A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15 447 461.10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21F04" w:rsidRPr="00D24A1E" w:rsidRDefault="00621F04" w:rsidP="00D24A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4996" w:rsidRDefault="00D34996" w:rsidP="007E7F1B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B16466" w:rsidRPr="0059087E" w:rsidTr="00B16466">
        <w:tc>
          <w:tcPr>
            <w:tcW w:w="7230" w:type="dxa"/>
            <w:shd w:val="clear" w:color="auto" w:fill="auto"/>
            <w:vAlign w:val="center"/>
            <w:hideMark/>
          </w:tcPr>
          <w:p w:rsidR="00B16466" w:rsidRPr="0059087E" w:rsidRDefault="00B16466" w:rsidP="00AB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16466" w:rsidRPr="0059087E" w:rsidRDefault="00B16466" w:rsidP="00AB1AF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66" w:rsidRPr="0059087E" w:rsidRDefault="00B16466" w:rsidP="00AB1AF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6466" w:rsidRPr="0059087E" w:rsidRDefault="00B16466" w:rsidP="00AB1AF6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34996" w:rsidRDefault="00D34996" w:rsidP="007E7F1B"/>
    <w:p w:rsidR="00D34996" w:rsidRDefault="00D34996" w:rsidP="007E7F1B"/>
    <w:p w:rsidR="00D34996" w:rsidRDefault="00D34996" w:rsidP="007E7F1B"/>
    <w:p w:rsidR="009D1885" w:rsidRDefault="009D1885" w:rsidP="007E7F1B"/>
    <w:p w:rsidR="009D1885" w:rsidRDefault="009D1885" w:rsidP="007E7F1B"/>
    <w:p w:rsidR="009D1885" w:rsidRDefault="009D1885" w:rsidP="007E7F1B"/>
    <w:p w:rsidR="009D1885" w:rsidRDefault="009D1885" w:rsidP="007E7F1B"/>
    <w:p w:rsidR="00D34996" w:rsidRDefault="00D34996" w:rsidP="007E7F1B"/>
    <w:tbl>
      <w:tblPr>
        <w:tblW w:w="165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0"/>
        <w:gridCol w:w="6372"/>
        <w:gridCol w:w="860"/>
        <w:gridCol w:w="273"/>
        <w:gridCol w:w="624"/>
        <w:gridCol w:w="95"/>
        <w:gridCol w:w="557"/>
        <w:gridCol w:w="1276"/>
        <w:gridCol w:w="486"/>
        <w:gridCol w:w="91"/>
        <w:gridCol w:w="145"/>
        <w:gridCol w:w="1130"/>
        <w:gridCol w:w="132"/>
        <w:gridCol w:w="1276"/>
        <w:gridCol w:w="152"/>
        <w:gridCol w:w="1265"/>
        <w:gridCol w:w="152"/>
        <w:gridCol w:w="1134"/>
        <w:gridCol w:w="131"/>
        <w:gridCol w:w="236"/>
      </w:tblGrid>
      <w:tr w:rsidR="00F61542" w:rsidRPr="0059087E" w:rsidTr="00F61542">
        <w:trPr>
          <w:gridBefore w:val="1"/>
          <w:gridAfter w:val="2"/>
          <w:wBefore w:w="140" w:type="dxa"/>
          <w:wAfter w:w="367" w:type="dxa"/>
          <w:trHeight w:val="1706"/>
        </w:trPr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680EB2" w:rsidRDefault="00F61542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42" w:rsidRPr="00680EB2" w:rsidRDefault="00F61542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42" w:rsidRPr="00680EB2" w:rsidRDefault="00F61542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42" w:rsidRPr="00680EB2" w:rsidRDefault="00F61542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D4" w:rsidRDefault="00F61542" w:rsidP="00127186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ПРИЛОЖЕНИЕ 2</w:t>
            </w: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</w:r>
            <w:r w:rsidR="00C00FD4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от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25.07.</w:t>
            </w:r>
            <w:r w:rsidR="00C00FD4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 2017 г. №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9/58</w:t>
            </w:r>
          </w:p>
          <w:p w:rsidR="00F61542" w:rsidRPr="009D1885" w:rsidRDefault="00F61542" w:rsidP="00127186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100E8D" w:rsidRPr="00100E8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1 полугодие</w:t>
            </w:r>
            <w:r w:rsidRPr="009D1885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 2017 год"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1542" w:rsidRPr="009D1885" w:rsidRDefault="00F61542" w:rsidP="00127186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</w:p>
        </w:tc>
      </w:tr>
      <w:tr w:rsidR="00F61542" w:rsidRPr="00127186" w:rsidTr="00F61542">
        <w:trPr>
          <w:trHeight w:val="303"/>
        </w:trPr>
        <w:tc>
          <w:tcPr>
            <w:tcW w:w="14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Default="00F61542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61542" w:rsidRPr="00A03208" w:rsidRDefault="00F61542" w:rsidP="00A03208">
            <w:pPr>
              <w:pStyle w:val="ae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3208">
              <w:rPr>
                <w:rFonts w:ascii="Arial" w:hAnsi="Arial" w:cs="Arial"/>
                <w:b/>
                <w:bCs/>
                <w:color w:val="000000"/>
              </w:rPr>
              <w:t>Расходы бюджета</w:t>
            </w:r>
          </w:p>
          <w:p w:rsidR="00F61542" w:rsidRPr="00A03208" w:rsidRDefault="00F61542" w:rsidP="00A03208">
            <w:pPr>
              <w:pStyle w:val="ae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61542" w:rsidRPr="00127186" w:rsidTr="00F61542">
        <w:trPr>
          <w:trHeight w:val="264"/>
        </w:trPr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542" w:rsidRPr="00127186" w:rsidRDefault="00F61542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792"/>
        </w:trPr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5 105 059.04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21 652 440.96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F615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10 407 400.00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3 972 383.76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6 435 016.24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5D102A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520 652.59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616 147.41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1D55ED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520 652.59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616 147.41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520 652.59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616 147.41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67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520 652.59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616 147.41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520 652.59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616 147.41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873 100.00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399 886.80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473 213.20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120 765.79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142 934.21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67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9 170 600.00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3 451 731.17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5 718 868.83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347 206.62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1 387 393.38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67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328 740.85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1 096 159.15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CA5565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328 740.85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1 096 159.15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5D102A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252 489.14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841 910.86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5D10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76 251.71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254 248.29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18 465.77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CA5565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18 465.77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CA5565" w:rsidP="00CA5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18 465.77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291 234.23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F10B4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3 104 524.55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4 331 475.45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C960BF" w:rsidP="00FF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3 104 524.55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4 331 475.45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C960BF">
        <w:trPr>
          <w:gridBefore w:val="1"/>
          <w:gridAfter w:val="2"/>
          <w:wBefore w:w="140" w:type="dxa"/>
          <w:wAfter w:w="367" w:type="dxa"/>
          <w:trHeight w:val="67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2 909 963.10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3 734 436.90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C960BF" w:rsidP="00C96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2 909 963.10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3 734 436.90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5 103 100.00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2 240 376.46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2 862 723.54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1 541 300.00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669 586.64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871 713.36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191 955.45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589 644.55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B81E8F" w:rsidP="00C96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191 955.45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589 644.55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191 955.45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589 644.55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B81E8F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B81E8F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B81E8F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67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минимализацию</w:t>
            </w:r>
            <w:proofErr w:type="spellEnd"/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экстремизмана</w:t>
            </w:r>
            <w:proofErr w:type="spellEnd"/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B81E8F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14 060 067.72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B81E8F" w:rsidP="00B8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14 060 067.72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санитарной очистке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4 231 167.72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4 231 167.72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4 231 167.72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528 132.28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4 231 167.72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площадок для установки контейнеров для сбора твердых коммунальных отходов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обустройству и ремонту тротуаров (включая твердое покрытие парков, скверов и бульваров)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90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C63DD4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B81E8F" w:rsidP="00C6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000 0800 0000000000 000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685 900.00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242 898.00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443 002.00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7EEC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97EEC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35,4</w:t>
            </w: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242 898.00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242 898.00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"Праздники"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94 259.00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праздничные и иные зрелищные мероприятия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94 259.00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94 259.00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94 259.00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94 259.00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"Военно-патриотическое воспитание"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военно-патриотические акции и мероприятия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"Физическая культура"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897EEC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1542" w:rsidRPr="00A03208" w:rsidTr="00897EEC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F61542" w:rsidP="00897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"Массовый спорт"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000 1102 1320072010 244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03651B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61542" w:rsidRPr="00A03208" w:rsidRDefault="0003651B" w:rsidP="00036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общество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Информационная среда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450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542" w:rsidRPr="00A03208" w:rsidRDefault="00F61542" w:rsidP="00A03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1 762 069.57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1542" w:rsidRPr="00A03208" w:rsidTr="00F61542">
        <w:trPr>
          <w:gridBefore w:val="1"/>
          <w:gridAfter w:val="2"/>
          <w:wBefore w:w="140" w:type="dxa"/>
          <w:wAfter w:w="367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32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1542" w:rsidRPr="00A03208" w:rsidRDefault="00F61542" w:rsidP="00A032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4996" w:rsidRDefault="00D34996" w:rsidP="007E7F1B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B16466" w:rsidRPr="0059087E" w:rsidTr="00AB1AF6">
        <w:tc>
          <w:tcPr>
            <w:tcW w:w="7230" w:type="dxa"/>
            <w:shd w:val="clear" w:color="auto" w:fill="auto"/>
            <w:vAlign w:val="center"/>
            <w:hideMark/>
          </w:tcPr>
          <w:p w:rsidR="00B16466" w:rsidRPr="0059087E" w:rsidRDefault="00B16466" w:rsidP="00AB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16466" w:rsidRPr="0059087E" w:rsidRDefault="00B16466" w:rsidP="00AB1AF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66" w:rsidRPr="0059087E" w:rsidRDefault="00B16466" w:rsidP="00AB1AF6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6466" w:rsidRPr="0059087E" w:rsidRDefault="00B16466" w:rsidP="00AB1AF6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34996" w:rsidRDefault="00D34996" w:rsidP="007E7F1B"/>
    <w:p w:rsidR="00D34996" w:rsidRDefault="00D34996" w:rsidP="007E7F1B"/>
    <w:p w:rsidR="0081331A" w:rsidRDefault="0081331A" w:rsidP="007E7F1B"/>
    <w:p w:rsidR="0081331A" w:rsidRDefault="0081331A" w:rsidP="007E7F1B"/>
    <w:p w:rsidR="0081331A" w:rsidRDefault="0081331A" w:rsidP="007E7F1B"/>
    <w:p w:rsidR="0081331A" w:rsidRDefault="0081331A" w:rsidP="007E7F1B"/>
    <w:p w:rsidR="0081331A" w:rsidRDefault="0081331A" w:rsidP="007E7F1B"/>
    <w:p w:rsidR="0081331A" w:rsidRDefault="0081331A" w:rsidP="007E7F1B"/>
    <w:p w:rsidR="0081331A" w:rsidRDefault="0081331A" w:rsidP="007E7F1B"/>
    <w:p w:rsidR="00D34996" w:rsidRDefault="00D34996" w:rsidP="007E7F1B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97"/>
        <w:gridCol w:w="823"/>
        <w:gridCol w:w="311"/>
        <w:gridCol w:w="1134"/>
        <w:gridCol w:w="283"/>
        <w:gridCol w:w="851"/>
        <w:gridCol w:w="1701"/>
        <w:gridCol w:w="1559"/>
        <w:gridCol w:w="1028"/>
        <w:gridCol w:w="253"/>
      </w:tblGrid>
      <w:tr w:rsidR="00440491" w:rsidRPr="0059087E" w:rsidTr="0081331A">
        <w:trPr>
          <w:trHeight w:val="141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D4" w:rsidRDefault="00127186" w:rsidP="000A012F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t>ПРИЛОЖЕНИЕ 3</w:t>
            </w:r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br/>
              <w:t>к решению Совета Качинского</w:t>
            </w:r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br/>
              <w:t>муниципального округа</w:t>
            </w:r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br/>
            </w:r>
            <w:r w:rsidR="00C00FD4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от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25.07.</w:t>
            </w:r>
            <w:r w:rsidR="00C00FD4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 2017 г. № </w:t>
            </w:r>
            <w:r w:rsidR="00C00FD4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9/58</w:t>
            </w:r>
          </w:p>
          <w:p w:rsidR="00440491" w:rsidRPr="0081331A" w:rsidRDefault="00127186" w:rsidP="000A012F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100E8D" w:rsidRPr="00100E8D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t>1 полугодие</w:t>
            </w:r>
            <w:r w:rsidRPr="0081331A">
              <w:rPr>
                <w:rFonts w:ascii="Book Antiqua" w:eastAsia="Times New Roman" w:hAnsi="Book Antiqua" w:cs="Arial"/>
                <w:sz w:val="16"/>
                <w:szCs w:val="16"/>
                <w:lang w:eastAsia="ru-RU"/>
              </w:rPr>
              <w:t xml:space="preserve"> 2017 год"</w:t>
            </w:r>
          </w:p>
        </w:tc>
      </w:tr>
      <w:tr w:rsidR="00127186" w:rsidRPr="00127186" w:rsidTr="0081331A">
        <w:trPr>
          <w:gridAfter w:val="1"/>
          <w:wAfter w:w="253" w:type="dxa"/>
          <w:trHeight w:val="303"/>
        </w:trPr>
        <w:tc>
          <w:tcPr>
            <w:tcW w:w="15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0"/>
            <w:r w:rsidRPr="001271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81331A" w:rsidRPr="0081331A" w:rsidTr="00074BB2">
        <w:trPr>
          <w:trHeight w:val="96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-1 762 069.57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-1 762 069.57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-1 762 069.57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-6 867 128.61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-6 867 128.61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-6 867 128.61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-6 867 128.61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5 105 059.04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5 105 059.04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5 105 059.04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5 105 059.04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81331A" w:rsidRPr="0081331A" w:rsidTr="0081331A">
        <w:trPr>
          <w:trHeight w:val="285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 Николай Михайлович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1331A" w:rsidRPr="0081331A" w:rsidTr="0081331A">
        <w:trPr>
          <w:trHeight w:val="225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Гладкова Татьяна Сергеевна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1331A" w:rsidRPr="0081331A" w:rsidTr="0081331A">
        <w:trPr>
          <w:trHeight w:val="439"/>
        </w:trPr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Бедовская</w:t>
            </w:r>
            <w:proofErr w:type="spellEnd"/>
            <w:r w:rsidRPr="008133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Александровна</w:t>
            </w:r>
          </w:p>
        </w:tc>
      </w:tr>
      <w:tr w:rsidR="0081331A" w:rsidRPr="0081331A" w:rsidTr="0081331A">
        <w:trPr>
          <w:trHeight w:val="255"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1A" w:rsidRPr="0081331A" w:rsidRDefault="0081331A" w:rsidP="00813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331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E7F1B" w:rsidRPr="0081331A" w:rsidRDefault="007E7F1B" w:rsidP="0081331A">
      <w:pPr>
        <w:rPr>
          <w:rFonts w:ascii="Book Antiqua" w:hAnsi="Book Antiqua"/>
        </w:rPr>
        <w:sectPr w:rsidR="007E7F1B" w:rsidRPr="0081331A" w:rsidSect="00D24A1E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E7F1B" w:rsidRDefault="007E7F1B" w:rsidP="00B16466">
      <w:pPr>
        <w:rPr>
          <w:rFonts w:ascii="Book Antiqua" w:hAnsi="Book Antiqua"/>
          <w:b/>
        </w:rPr>
      </w:pPr>
    </w:p>
    <w:p w:rsidR="00F26F03" w:rsidRDefault="00F26F03"/>
    <w:p w:rsidR="00FE5F69" w:rsidRDefault="00FE5F69"/>
    <w:sectPr w:rsidR="00FE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5530D"/>
    <w:multiLevelType w:val="hybridMultilevel"/>
    <w:tmpl w:val="BD06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B"/>
    <w:rsid w:val="0001004A"/>
    <w:rsid w:val="0003651B"/>
    <w:rsid w:val="00074BB2"/>
    <w:rsid w:val="000A012F"/>
    <w:rsid w:val="00100E8D"/>
    <w:rsid w:val="0011486D"/>
    <w:rsid w:val="00127186"/>
    <w:rsid w:val="0018352D"/>
    <w:rsid w:val="001D55ED"/>
    <w:rsid w:val="001E4C19"/>
    <w:rsid w:val="00200330"/>
    <w:rsid w:val="0025582F"/>
    <w:rsid w:val="003C5993"/>
    <w:rsid w:val="00440491"/>
    <w:rsid w:val="004459E6"/>
    <w:rsid w:val="0059087E"/>
    <w:rsid w:val="005B4FF2"/>
    <w:rsid w:val="005D102A"/>
    <w:rsid w:val="00621F04"/>
    <w:rsid w:val="007C4C9A"/>
    <w:rsid w:val="007E7F1B"/>
    <w:rsid w:val="0081331A"/>
    <w:rsid w:val="00897EEC"/>
    <w:rsid w:val="00903365"/>
    <w:rsid w:val="009D1885"/>
    <w:rsid w:val="00A002CF"/>
    <w:rsid w:val="00A03208"/>
    <w:rsid w:val="00A41F53"/>
    <w:rsid w:val="00AB1AF6"/>
    <w:rsid w:val="00B16466"/>
    <w:rsid w:val="00B374A8"/>
    <w:rsid w:val="00B81E8F"/>
    <w:rsid w:val="00BA44C5"/>
    <w:rsid w:val="00C00FD4"/>
    <w:rsid w:val="00C63DD4"/>
    <w:rsid w:val="00C960BF"/>
    <w:rsid w:val="00CA5565"/>
    <w:rsid w:val="00D24A1E"/>
    <w:rsid w:val="00D34996"/>
    <w:rsid w:val="00DC5A6E"/>
    <w:rsid w:val="00DC68B5"/>
    <w:rsid w:val="00E40230"/>
    <w:rsid w:val="00F26F03"/>
    <w:rsid w:val="00F61542"/>
    <w:rsid w:val="00FE5F69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2017-07-26T06:06:00Z</cp:lastPrinted>
  <dcterms:created xsi:type="dcterms:W3CDTF">2017-07-20T07:25:00Z</dcterms:created>
  <dcterms:modified xsi:type="dcterms:W3CDTF">2017-07-26T06:11:00Z</dcterms:modified>
</cp:coreProperties>
</file>