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bookmarkStart w:id="0" w:name="__DdeLink__1905_2000444036"/>
      <w:bookmarkEnd w:id="0"/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6"/>
        <w:gridCol w:w="3152"/>
        <w:gridCol w:w="3157"/>
      </w:tblGrid>
      <w:tr>
        <w:trPr/>
        <w:tc>
          <w:tcPr>
            <w:tcW w:w="293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2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№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38/13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6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27.09.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spacing w:lineRule="auto" w:line="240"/>
        <w:jc w:val="center"/>
        <w:rPr/>
      </w:pPr>
      <w:bookmarkStart w:id="1" w:name="__DdeLink__1905_20004440361"/>
      <w:bookmarkEnd w:id="1"/>
      <w:r>
        <w:rPr>
          <w:rFonts w:ascii="Book Antiqua" w:hAnsi="Book Antiqua"/>
          <w:b/>
          <w:sz w:val="26"/>
          <w:szCs w:val="26"/>
        </w:rPr>
        <w:t>О внесении изменений в решение Совета Качинского муниципального округа от 02 февраля 2017 года № 06/33 «Об утверждении 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округ»</w:t>
      </w:r>
    </w:p>
    <w:p>
      <w:pPr>
        <w:pStyle w:val="Normal"/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В соответствии со ст. 86 Бюджетного кодекса Российской Федерации, ст. 135 Трудового кодекса Российской Федерации, ст. 42, 53 Федерального закона от 06.10.2003 № 131-ФЗ «Об общих принципах организации местного самоуправления в Российской Федерации», ст. 22 Федерального закона от 02.03.2007 № 25-ФЗ «О муниципальной службе в Российской Федерации», пунктом 4 статьи 27 Закона города Севастополя от 05.08.2014 № 53-ЗС «О муниципальной службе в городе Севастополе», Законом города Севастополя от 30.12.2014 № 102-ЗС «О местном самоуправлении в городе Севастополе», </w:t>
      </w:r>
      <w:r>
        <w:rPr>
          <w:rFonts w:cs="Arial" w:ascii="Book Antiqua" w:hAnsi="Book Antiqua"/>
          <w:sz w:val="26"/>
          <w:szCs w:val="26"/>
        </w:rPr>
        <w:t>Уставом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sz w:val="26"/>
          <w:szCs w:val="26"/>
        </w:rPr>
        <w:t xml:space="preserve">, </w:t>
      </w:r>
    </w:p>
    <w:p>
      <w:pPr>
        <w:pStyle w:val="Normal"/>
        <w:ind w:firstLine="708"/>
        <w:jc w:val="center"/>
        <w:rPr/>
      </w:pPr>
      <w:r>
        <w:rPr>
          <w:rFonts w:ascii="Book Antiqua" w:hAnsi="Book Antiqua"/>
          <w:b/>
          <w:sz w:val="26"/>
          <w:szCs w:val="26"/>
        </w:rPr>
        <w:t>Совет Качинского муниципального округа</w:t>
      </w:r>
    </w:p>
    <w:p>
      <w:pPr>
        <w:pStyle w:val="Normal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РЕШИЛ: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>1. Внести изменения в решение Совета Качинского муниципального округа от 02 февраля 2017 года № 06/33 «Об утверждении 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1.1. В пункте 3.1.  Раздела 3 «Должностной оклад в соответствии с замещаемой муниципальным служащим должностью муниципальной службы города Севастополя «специалист» устанавливается в размере» цифры «5 554» заменить на «6024,53»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 Настоящее решение вступает в силу с 01 октября 2019 года.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3. Обнародовать настоящее решение на официальном сайте и </w:t>
      </w:r>
      <w:r>
        <w:rPr>
          <w:rFonts w:cs="Book Antiqua" w:ascii="Book Antiqua" w:hAnsi="Book Antiqua"/>
          <w:sz w:val="26"/>
          <w:szCs w:val="26"/>
        </w:rPr>
        <w:t>информационном стенде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4. </w:t>
      </w:r>
      <w:r>
        <w:rPr>
          <w:rFonts w:cs="Book Antiqua" w:ascii="Book Antiqua" w:hAnsi="Book Antiqua"/>
          <w:sz w:val="26"/>
          <w:szCs w:val="26"/>
        </w:rPr>
        <w:t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ind w:left="360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W w:w="953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4"/>
        <w:gridCol w:w="1407"/>
        <w:gridCol w:w="2494"/>
      </w:tblGrid>
      <w:tr>
        <w:trPr/>
        <w:tc>
          <w:tcPr>
            <w:tcW w:w="563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40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2494" w:type="dxa"/>
            <w:tcBorders/>
            <w:shd w:fill="auto" w:val="clear"/>
            <w:vAlign w:val="bottom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  <w:t>Н.М. Герасим</w:t>
            </w:r>
          </w:p>
        </w:tc>
      </w:tr>
    </w:tbl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spacing w:before="0" w:after="200"/>
        <w:ind w:left="5670"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LibreOffice/6.3.1.2$Windows_x86 LibreOffice_project/b79626edf0065ac373bd1df5c28bd630b4424273</Application>
  <Pages>3</Pages>
  <Words>284</Words>
  <Characters>2000</Characters>
  <CharactersWithSpaces>2327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2019-09-30T10:04:33Z</cp:lastPrinted>
  <dcterms:modified xsi:type="dcterms:W3CDTF">2019-09-30T10:04:37Z</dcterms:modified>
  <cp:revision>11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