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bookmarkStart w:id="0" w:name="__DdeLink__67_4265796693"/>
      <w:bookmarkEnd w:id="0"/>
      <w:r>
        <w:rPr/>
        <w:drawing>
          <wp:inline distT="0" distB="0" distL="0" distR="0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</w:t>
      </w:r>
    </w:p>
    <w:p>
      <w:pPr>
        <w:pStyle w:val="Normal"/>
        <w:ind w:left="5760" w:hang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  <w:u w:val="single"/>
        </w:rPr>
      </w:pPr>
      <w:r>
        <w:rPr>
          <w:rFonts w:cs="Book Antiqua"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570" w:type="dxa"/>
        <w:jc w:val="left"/>
        <w:tblInd w:w="-10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VIII сессия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Spacing"/>
              <w:widowControl w:val="false"/>
              <w:jc w:val="right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jc w:val="center"/>
        <w:rPr>
          <w:rFonts w:ascii="Book Antiqua" w:hAnsi="Book Antiqua" w:cs="Book Antiqua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РЕШЕНИЕ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6"/>
          <w:szCs w:val="6"/>
        </w:rPr>
      </w:pPr>
      <w:r>
        <w:rPr>
          <w:rFonts w:cs="Book Antiqua" w:ascii="Book Antiqua" w:hAnsi="Book Antiqua"/>
          <w:b/>
          <w:bCs/>
          <w:i/>
          <w:iCs/>
          <w:sz w:val="6"/>
          <w:szCs w:val="6"/>
        </w:rPr>
      </w:r>
    </w:p>
    <w:p>
      <w:pPr>
        <w:pStyle w:val="NoSpacing"/>
        <w:jc w:val="center"/>
        <w:rPr/>
      </w:pPr>
      <w:bookmarkStart w:id="1" w:name="__DdeLink__98_3326975469"/>
      <w:bookmarkEnd w:id="1"/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№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8/32</w:t>
      </w:r>
    </w:p>
    <w:tbl>
      <w:tblPr>
        <w:tblW w:w="9570" w:type="dxa"/>
        <w:jc w:val="left"/>
        <w:tblInd w:w="-10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eastAsia="Times New Roman" w:cs="Book Antiqua" w:ascii="Book Antiqua" w:hAnsi="Book Antiqua"/>
                <w:sz w:val="24"/>
                <w:szCs w:val="24"/>
              </w:rPr>
              <w:t>«20» мая</w:t>
            </w:r>
            <w:r>
              <w:rPr>
                <w:rFonts w:cs="Book Antiqua" w:ascii="Book Antiqua" w:hAnsi="Book Antiqua"/>
                <w:sz w:val="24"/>
                <w:szCs w:val="24"/>
              </w:rPr>
              <w:t xml:space="preserve"> 20</w:t>
            </w:r>
            <w:r>
              <w:rPr>
                <w:rFonts w:eastAsia="Times New Roman" w:cs="Book Antiqua" w:ascii="Book Antiqua" w:hAnsi="Book Antiqua"/>
                <w:sz w:val="24"/>
                <w:szCs w:val="24"/>
              </w:rPr>
              <w:t>22</w:t>
            </w:r>
            <w:r>
              <w:rPr>
                <w:rFonts w:cs="Book Antiqua"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Spacing"/>
              <w:widowControl w:val="false"/>
              <w:jc w:val="right"/>
              <w:rPr>
                <w:rFonts w:ascii="Book Antiqua" w:hAnsi="Book Antiqua" w:cs="Book Antiqua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пгт Кача</w:t>
            </w:r>
          </w:p>
        </w:tc>
      </w:tr>
    </w:tbl>
    <w:p>
      <w:pPr>
        <w:pStyle w:val="Style20"/>
        <w:ind w:right="6378" w:hanging="0"/>
        <w:jc w:val="both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  <w:bookmarkStart w:id="2" w:name="__DdeLink__67_42657966931"/>
      <w:bookmarkStart w:id="3" w:name="__DdeLink__67_42657966931"/>
      <w:bookmarkEnd w:id="3"/>
    </w:p>
    <w:p>
      <w:pPr>
        <w:pStyle w:val="NoSpacing"/>
        <w:jc w:val="center"/>
        <w:rPr/>
      </w:pPr>
      <w:r>
        <w:rPr>
          <w:rFonts w:cs="Book Antiqua" w:ascii="Book Antiqua" w:hAnsi="Book Antiqua"/>
          <w:b/>
          <w:i/>
          <w:sz w:val="24"/>
          <w:szCs w:val="24"/>
        </w:rPr>
        <w:t xml:space="preserve">О </w:t>
      </w:r>
      <w:bookmarkStart w:id="4" w:name="__DdeLink__11922_1992421054"/>
      <w:r>
        <w:rPr>
          <w:rFonts w:cs="Book Antiqua" w:ascii="Book Antiqua" w:hAnsi="Book Antiqua"/>
          <w:b/>
          <w:i/>
          <w:sz w:val="24"/>
          <w:szCs w:val="24"/>
        </w:rPr>
        <w:t xml:space="preserve">внесении  дополнений в Решение Совета Качинского муниципального округа от 09.04.2016г. №22/167 «Об утверждении Положения о порядке предоставления отпусков </w:t>
      </w:r>
      <w:bookmarkStart w:id="5" w:name="__DdeLink__9520_4265796693"/>
      <w:r>
        <w:rPr>
          <w:rFonts w:cs="Book Antiqua" w:ascii="Book Antiqua" w:hAnsi="Book Antiqua"/>
          <w:b/>
          <w:i/>
          <w:sz w:val="24"/>
          <w:szCs w:val="24"/>
        </w:rPr>
        <w:t>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</w:t>
      </w:r>
      <w:bookmarkEnd w:id="5"/>
      <w:r>
        <w:rPr>
          <w:rFonts w:cs="Book Antiqua" w:ascii="Book Antiqua" w:hAnsi="Book Antiqua"/>
          <w:b/>
          <w:i/>
          <w:sz w:val="24"/>
          <w:szCs w:val="24"/>
        </w:rPr>
        <w:t>»</w:t>
      </w:r>
      <w:bookmarkEnd w:id="4"/>
    </w:p>
    <w:p>
      <w:pPr>
        <w:pStyle w:val="Normal"/>
        <w:spacing w:lineRule="auto" w:line="240" w:before="0" w:after="0"/>
        <w:jc w:val="center"/>
        <w:rPr>
          <w:rFonts w:ascii="Book Antiqua" w:hAnsi="Book Antiqua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Book Antiqua" w:hAnsi="Book Antiqua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 xml:space="preserve">В </w:t>
      </w:r>
      <w:r>
        <w:rPr>
          <w:rFonts w:eastAsia="MS Mincho" w:ascii="Book Antiqua" w:hAnsi="Book Antiqua"/>
          <w:sz w:val="24"/>
          <w:szCs w:val="24"/>
        </w:rPr>
        <w:t xml:space="preserve">соответствии со ст. 186 Трудового кодекса Российской Федерации,  Федеральными законами от 06.10.2003 №131-ФЗ «Об общих принципах организации местного самоуправления в Российской Федерации», Законами города Севастополя от 05.08.2014 53-ЗС «О муниципальной службе в городе Севастополе», от 30.12.2014 №102-ЗС «О местном самоуправлении в городе Севастополе», </w:t>
      </w:r>
      <w:r>
        <w:rPr>
          <w:rFonts w:cs="Book Antiqua" w:ascii="Book Antiqua" w:hAnsi="Book Antiqua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 (с изменениями):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 w:cs="Book Antiqua"/>
          <w:b/>
          <w:b/>
          <w:sz w:val="24"/>
          <w:szCs w:val="24"/>
        </w:rPr>
      </w:pPr>
      <w:r>
        <w:rPr>
          <w:rFonts w:cs="Book Antiqua" w:ascii="Book Antiqua" w:hAnsi="Book Antiqua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Book Antiqua" w:ascii="Book Antiqua" w:hAnsi="Book Antiqua"/>
          <w:b/>
          <w:sz w:val="24"/>
          <w:szCs w:val="24"/>
        </w:rPr>
        <w:t>Совет Качинского муниципального округа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Book Antiqua" w:ascii="Book Antiqua" w:hAnsi="Book Antiqua"/>
          <w:b/>
          <w:sz w:val="24"/>
          <w:szCs w:val="24"/>
        </w:rPr>
        <w:t>РЕШИЛ:</w:t>
      </w:r>
    </w:p>
    <w:p>
      <w:pPr>
        <w:pStyle w:val="NoSpacing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 xml:space="preserve">1. </w:t>
      </w:r>
      <w:r>
        <w:rPr>
          <w:rFonts w:eastAsia="Times New Roman" w:cs="Book Antiqua" w:ascii="Book Antiqua" w:hAnsi="Book Antiqua"/>
          <w:b w:val="false"/>
          <w:bCs w:val="false"/>
          <w:i w:val="false"/>
          <w:iCs w:val="false"/>
          <w:sz w:val="24"/>
          <w:szCs w:val="24"/>
          <w:lang w:val="ru-RU"/>
        </w:rPr>
        <w:t>В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нести следующие дополнения в Решение Совета Качинского муниципального округа от 09.04.2016г. №22/167 «Об утверждении Положения о порядке предоставления отпусков 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округа»:</w:t>
      </w:r>
    </w:p>
    <w:p>
      <w:pPr>
        <w:pStyle w:val="NoSpacing"/>
        <w:ind w:firstLine="709"/>
        <w:jc w:val="both"/>
        <w:rPr/>
      </w:pP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1.1. Дополнить Раздел 2 Положения Пунктом 2.16  следующего содержания:</w:t>
      </w:r>
    </w:p>
    <w:p>
      <w:pPr>
        <w:pStyle w:val="NoSpacing"/>
        <w:ind w:hanging="0"/>
        <w:jc w:val="both"/>
        <w:rPr/>
      </w:pP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ab/>
        <w:t xml:space="preserve">«2.16 </w:t>
      </w:r>
      <w:r>
        <w:rPr>
          <w:rFonts w:eastAsia="Times New Roman" w:cs="Book Antiqua" w:ascii="Book Antiqua" w:hAnsi="Book Antiqua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В день сдачи крови и ее компонентов, а также в день связанного с этим медицинского осмотра сотрудник освобождается от работы. В случае, если по соглашению с работодателем сотрудник в день сдачи крови и ее компонентов вышел на работу (за исключением работ с вредными и (или) опасными условиями труда, когда выход сотрудника на работу в этот день невозможен), ему предоставляется по его желанию другой день отдыха. </w:t>
      </w:r>
      <w:r>
        <w:rPr>
          <w:rFonts w:ascii="Book Antiqua" w:hAnsi="Book Antiqua"/>
        </w:rPr>
        <w:t xml:space="preserve">В случае сдачи крови и ее компонентов в период ежегодного оплачиваемого отпуска, в выходной или нерабочий праздничный день сотруднику по его желанию предоставляется другой день отдыха. </w:t>
      </w:r>
      <w:bookmarkStart w:id="6" w:name="dst792"/>
      <w:bookmarkStart w:id="7" w:name="dst101162"/>
      <w:bookmarkEnd w:id="6"/>
      <w:bookmarkEnd w:id="7"/>
      <w:r>
        <w:rPr>
          <w:rFonts w:ascii="Book Antiqua" w:hAnsi="Book Antiqua"/>
        </w:rPr>
        <w:t xml:space="preserve">После каждого дня сдачи крови и ее компонентов сотруднику предоставляется дополнительный день отдыха. Указанный день отдыха по желанию сотрудника  может быть присоединен к ежегодному оплачиваемому отпуску или использован в другое время в течение года после дня сдачи крови и ее компонентов. При сдаче крови и ее компонентов  за сотрудником сохраняется его </w:t>
      </w:r>
      <w:hyperlink r:id="rId3">
        <w:r>
          <w:rPr>
            <w:rFonts w:ascii="Book Antiqua" w:hAnsi="Book Antiqua"/>
            <w:u w:val="none"/>
          </w:rPr>
          <w:t>средний заработок</w:t>
        </w:r>
      </w:hyperlink>
      <w:r>
        <w:rPr>
          <w:rFonts w:ascii="Book Antiqua" w:hAnsi="Book Antiqua"/>
        </w:rPr>
        <w:t xml:space="preserve"> за дни сдачи и предоставленные в связи с этим дни отдыха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. Таким образом,  сотруднику предоставляется  два дня отдыха за каждый день сдачи крови, которые можно присоединить к ежегодному оплачиваемому отпуску или использовать в другое время в течение года после дня сдачи крови и ее компонентов.»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>2. 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>3. Настоящее решение вступает в силу со дня его обнародования.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>4. 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 w:eastAsia="Calibri" w:cs="Times New Roman"/>
          <w:sz w:val="24"/>
          <w:szCs w:val="24"/>
        </w:rPr>
      </w:pPr>
      <w:r>
        <w:rPr>
          <w:rFonts w:eastAsia="Calibri" w:cs="Times New Roman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Calibri" w:cs="Times New Roman"/>
          <w:sz w:val="24"/>
          <w:szCs w:val="24"/>
        </w:rPr>
      </w:pPr>
      <w:r>
        <w:rPr>
          <w:rFonts w:eastAsia="Calibri" w:cs="Times New Roman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Calibri" w:cs="Times New Roman"/>
          <w:sz w:val="24"/>
          <w:szCs w:val="24"/>
        </w:rPr>
      </w:pPr>
      <w:r>
        <w:rPr>
          <w:rFonts w:eastAsia="Calibri" w:cs="Times New Roman" w:ascii="Book Antiqua" w:hAnsi="Book Antiqua"/>
          <w:sz w:val="24"/>
          <w:szCs w:val="24"/>
        </w:rPr>
      </w:r>
    </w:p>
    <w:tbl>
      <w:tblPr>
        <w:tblW w:w="9690" w:type="dxa"/>
        <w:jc w:val="left"/>
        <w:tblInd w:w="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412"/>
        <w:gridCol w:w="1953"/>
        <w:gridCol w:w="2325"/>
      </w:tblGrid>
      <w:tr>
        <w:trPr/>
        <w:tc>
          <w:tcPr>
            <w:tcW w:w="54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Book Antiqua" w:hAnsi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r>
              <w:rPr>
                <w:rFonts w:eastAsia="Times New Roman" w:cs="Times New Roman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 полномочия председателя 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Times New Roman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5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eastAsia="Calibri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Book Antiqua" w:hAnsi="Book Antiqua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Calibri" w:cs="Times New Roman"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rPr>
          <w:rFonts w:ascii="Book Antiqua" w:hAnsi="Book Antiqua" w:eastAsia="Calibri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Calibri" w:cs="Times New Roman" w:ascii="Book Antiqua" w:hAnsi="Book Antiqua"/>
          <w:b/>
          <w:bCs/>
          <w:i/>
          <w:iCs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5812" w:leader="none"/>
        </w:tabs>
        <w:spacing w:lineRule="auto" w:line="240" w:before="0" w:after="0"/>
        <w:ind w:right="-1" w:hanging="0"/>
        <w:jc w:val="center"/>
        <w:rPr>
          <w:b/>
          <w:b/>
          <w:i/>
          <w:i/>
          <w:iCs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41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ad119b"/>
    <w:pPr>
      <w:keepNext w:val="true"/>
      <w:numPr>
        <w:ilvl w:val="0"/>
        <w:numId w:val="1"/>
      </w:numPr>
      <w:spacing w:lineRule="auto" w:line="360" w:before="240" w:after="240"/>
      <w:outlineLvl w:val="0"/>
    </w:pPr>
    <w:rPr>
      <w:rFonts w:eastAsia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ad119b"/>
    <w:rPr>
      <w:rFonts w:eastAsia="Times New Roman"/>
      <w:b/>
      <w:sz w:val="28"/>
      <w:szCs w:val="28"/>
    </w:rPr>
  </w:style>
  <w:style w:type="character" w:styleId="Style13" w:customStyle="1">
    <w:name w:val="Основной текст Знак"/>
    <w:basedOn w:val="DefaultParagraphFont"/>
    <w:qFormat/>
    <w:rsid w:val="007f4146"/>
    <w:rPr>
      <w:rFonts w:eastAsia="MS Mincho"/>
      <w:b/>
      <w:bCs/>
      <w:sz w:val="28"/>
      <w:szCs w:val="28"/>
      <w:lang w:val="x-none" w:eastAsia="ru-RU" w:bidi="ar-SA"/>
    </w:rPr>
  </w:style>
  <w:style w:type="character" w:styleId="Strong">
    <w:name w:val="Strong"/>
    <w:basedOn w:val="DefaultParagraphFont"/>
    <w:qFormat/>
    <w:rsid w:val="00842150"/>
    <w:rPr>
      <w:b/>
      <w:bCs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e33f1"/>
    <w:rPr>
      <w:rFonts w:eastAsia="MS Mincho"/>
      <w:sz w:val="24"/>
      <w:szCs w:val="24"/>
    </w:rPr>
  </w:style>
  <w:style w:type="character" w:styleId="Pagenumber">
    <w:name w:val="page number"/>
    <w:basedOn w:val="DefaultParagraphFont"/>
    <w:qFormat/>
    <w:rsid w:val="00be2e21"/>
    <w:rPr/>
  </w:style>
  <w:style w:type="character" w:styleId="Blk" w:customStyle="1">
    <w:name w:val="blk"/>
    <w:basedOn w:val="DefaultParagraphFont"/>
    <w:qFormat/>
    <w:rsid w:val="004523cc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2b1419"/>
    <w:rPr>
      <w:rFonts w:ascii="Segoe UI" w:hAnsi="Segoe UI" w:eastAsia="MS Mincho" w:cs="Segoe UI"/>
      <w:sz w:val="18"/>
      <w:szCs w:val="18"/>
    </w:rPr>
  </w:style>
  <w:style w:type="character" w:styleId="Style16" w:customStyle="1">
    <w:name w:val="Без интервала Знак"/>
    <w:uiPriority w:val="99"/>
    <w:qFormat/>
    <w:rsid w:val="006573be"/>
    <w:rPr>
      <w:rFonts w:ascii="Calibri" w:hAnsi="Calibri" w:eastAsia="Times New Roman"/>
      <w:sz w:val="22"/>
      <w:szCs w:val="22"/>
    </w:rPr>
  </w:style>
  <w:style w:type="character" w:styleId="Style17" w:customStyle="1">
    <w:name w:val="Нижний колонтитул Знак"/>
    <w:basedOn w:val="DefaultParagraphFont"/>
    <w:uiPriority w:val="99"/>
    <w:qFormat/>
    <w:rsid w:val="006573be"/>
    <w:rPr>
      <w:rFonts w:eastAsia="MS Mincho"/>
      <w:sz w:val="24"/>
      <w:szCs w:val="24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7f4146"/>
    <w:pPr>
      <w:jc w:val="center"/>
    </w:pPr>
    <w:rPr>
      <w:b/>
      <w:bCs/>
      <w:sz w:val="28"/>
      <w:szCs w:val="28"/>
      <w:lang w:val="x-none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Знак Знак1 Знак Знак Знак Знак Знак Знак Знак Знак Знак Знак Знак Знак"/>
    <w:basedOn w:val="Normal"/>
    <w:qFormat/>
    <w:rsid w:val="00786d7e"/>
    <w:pPr/>
    <w:rPr>
      <w:rFonts w:ascii="Verdana" w:hAnsi="Verdana" w:eastAsia="Times New Roman" w:cs="Verdana"/>
      <w:sz w:val="20"/>
      <w:szCs w:val="20"/>
      <w:lang w:val="uk-UA" w:eastAsia="en-US"/>
    </w:rPr>
  </w:style>
  <w:style w:type="paragraph" w:styleId="NormalWeb">
    <w:name w:val="Normal (Web)"/>
    <w:basedOn w:val="Normal"/>
    <w:qFormat/>
    <w:rsid w:val="00842150"/>
    <w:pPr>
      <w:spacing w:beforeAutospacing="1" w:afterAutospacing="1"/>
    </w:pPr>
    <w:rPr>
      <w:rFonts w:eastAsia="SimSun"/>
      <w:lang w:eastAsia="zh-CN"/>
    </w:rPr>
  </w:style>
  <w:style w:type="paragraph" w:styleId="A" w:customStyle="1">
    <w:name w:val="a"/>
    <w:basedOn w:val="Normal"/>
    <w:qFormat/>
    <w:rsid w:val="00ba0790"/>
    <w:pPr>
      <w:spacing w:beforeAutospacing="1" w:afterAutospacing="1"/>
    </w:pPr>
    <w:rPr>
      <w:rFonts w:eastAsia="SimSun"/>
      <w:lang w:eastAsia="zh-CN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rsid w:val="00be2e2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3" w:customStyle="1">
    <w:name w:val="Знак Знак1 Знак Знак Знак Знак Знак Знак Знак Знак Знак Знак Знак Знак Знак Знак Знак"/>
    <w:basedOn w:val="Normal"/>
    <w:qFormat/>
    <w:rsid w:val="003e5213"/>
    <w:pPr/>
    <w:rPr>
      <w:rFonts w:ascii="Verdana" w:hAnsi="Verdana" w:eastAsia="Times New Roman" w:cs="Verdana"/>
      <w:sz w:val="20"/>
      <w:szCs w:val="20"/>
      <w:lang w:val="uk-UA"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2b1419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573b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7">
    <w:name w:val="Footer"/>
    <w:basedOn w:val="Normal"/>
    <w:uiPriority w:val="99"/>
    <w:unhideWhenUsed/>
    <w:rsid w:val="006573b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f0409b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document/cons_doc_LAW_34683/afa0fefda9e8cd338ddaff26002c2b04943db9ca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8A7D-4EEB-4644-A4EC-92382B51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Application>LibreOffice/7.3.0.3$Windows_X86_64 LibreOffice_project/0f246aa12d0eee4a0f7adcefbf7c878fc2238db3</Application>
  <AppVersion>15.0000</AppVersion>
  <Pages>2</Pages>
  <Words>442</Words>
  <Characters>2973</Characters>
  <CharactersWithSpaces>3480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2017-11-28T13:03:00Z</dcterms:created>
  <dc:creator>Петрій</dc:creator>
  <dc:description/>
  <dc:language>ru-RU</dc:language>
  <cp:lastModifiedBy/>
  <cp:lastPrinted>2022-05-23T11:16:00Z</cp:lastPrinted>
  <dcterms:modified xsi:type="dcterms:W3CDTF">2022-05-23T11:16:03Z</dcterms:modified>
  <cp:revision>45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