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end"/>
        <w:rPr>
          <w:rFonts w:ascii="Times New Roman" w:hAnsi="Times New Roman"/>
        </w:rPr>
      </w:pPr>
      <w:r>
        <w:rPr/>
        <w:drawing>
          <wp:inline distT="0" distB="0" distL="0" distR="0">
            <wp:extent cx="762000" cy="972185"/>
            <wp:effectExtent l="0" t="0" r="0" b="0"/>
            <wp:docPr id="1" name="Рисунок 3" descr="C:\Users\Admin\AppData\Roaming\Mail.Ru\Agent\0001\content.cache\0e95c06e5729cfbeb131fe93a54751c5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dmin\AppData\Roaming\Mail.Ru\Agent\0001\content.cache\0e95c06e5729cfbeb131fe93a54751c5.pn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lang w:val="ru-RU"/>
        </w:rPr>
        <w:t>проект</w:t>
      </w:r>
    </w:p>
    <w:p>
      <w:pPr>
        <w:pStyle w:val="NoSpacing"/>
        <w:numPr>
          <w:ilvl w:val="0"/>
          <w:numId w:val="0"/>
        </w:numPr>
        <w:ind w:start="0" w:end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start="0" w:end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Times New Roman" w:hAnsi="Times New Roman"/>
          <w:b/>
          <w:b/>
          <w:i/>
          <w:i/>
          <w:u w:val="single"/>
        </w:rPr>
      </w:pPr>
      <w:r>
        <w:rPr>
          <w:rFonts w:ascii="Times New Roman" w:hAnsi="Times New Roman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start="0" w:end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Times New Roman" w:hAnsi="Times New Roman"/>
          <w:b/>
          <w:b/>
          <w:i/>
          <w:i/>
          <w:sz w:val="6"/>
          <w:szCs w:val="6"/>
        </w:rPr>
      </w:pPr>
      <w:r>
        <w:rPr>
          <w:rFonts w:ascii="Times New Roman" w:hAnsi="Times New Roman"/>
          <w:b/>
          <w:i/>
          <w:sz w:val="6"/>
          <w:szCs w:val="6"/>
        </w:rPr>
      </w:r>
    </w:p>
    <w:p>
      <w:pPr>
        <w:pStyle w:val="NoSpacing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i/>
          <w:sz w:val="40"/>
          <w:szCs w:val="40"/>
          <w:shd w:fill="auto" w:val="clear"/>
        </w:rPr>
        <w:t>№</w:t>
      </w:r>
      <w:r>
        <w:rPr>
          <w:rFonts w:ascii="Times New Roman" w:hAnsi="Times New Roman"/>
          <w:b/>
          <w:i/>
          <w:sz w:val="40"/>
          <w:szCs w:val="40"/>
          <w:shd w:fill="auto" w:val="clear"/>
        </w:rPr>
        <w:t>_____-МА</w:t>
      </w:r>
    </w:p>
    <w:tbl>
      <w:tblPr>
        <w:tblW w:w="9305" w:type="dxa"/>
        <w:jc w:val="start"/>
        <w:tblInd w:w="-6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68"/>
        <w:gridCol w:w="4236"/>
      </w:tblGrid>
      <w:tr>
        <w:trPr/>
        <w:tc>
          <w:tcPr>
            <w:tcW w:w="5068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«   »     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года</w:t>
            </w:r>
          </w:p>
        </w:tc>
        <w:tc>
          <w:tcPr>
            <w:tcW w:w="4236" w:type="dxa"/>
            <w:tcBorders/>
          </w:tcPr>
          <w:p>
            <w:pPr>
              <w:pStyle w:val="NoSpacing"/>
              <w:widowControl w:val="false"/>
              <w:jc w:val="e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Кача</w:t>
            </w:r>
          </w:p>
        </w:tc>
      </w:tr>
      <w:tr>
        <w:trPr/>
        <w:tc>
          <w:tcPr>
            <w:tcW w:w="9304" w:type="dxa"/>
            <w:gridSpan w:val="2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постановлением от 25.11.2024 №177-МА «Об утверждении муниципальной программы «Развитие культуры внутригородского муниципального образования города Севастополя Качинский муниципальный округ»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53"/>
        <w:shd w:val="clear" w:fill="auto"/>
        <w:spacing w:lineRule="auto" w:line="240" w:before="180" w:after="0"/>
        <w:ind w:start="0" w:end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В  соответствии с требованиями бюджетного законодательства Российской Федерации,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Севастополя  от 30.12.2014 №102-ЗС «О местном самоуправлении в 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городе Севастополе», в соответствии с Постановлением местной администрации Качинского муниципального округа от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ru-RU" w:eastAsia="en-US" w:bidi="ru-RU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en-US" w:bidi="ru-RU"/>
        </w:rPr>
        <w:t>29.06.2023 № 87-МА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ru-RU"/>
        </w:rPr>
        <w:t>«Об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Качинский муниципальный округ»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 13, соответствии с Постановлением местной администрации Качинского муниципального округа от 25.10.2024г. №151-МА «Об утверждении Перечня муниципальных программ внутригородского муниципального образования города Севастополя Качинский муниципальный   муниципальный округ на 2025 год и на плановый период 2026-2027 годов», Положением о местной администрации внутригородского муниципального образования города Севастополя Качинский муниципальный округ, утверждённог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о Решением Совета Качинского муниципального округа от 13.05.2015 № 14, </w:t>
      </w:r>
      <w:r>
        <w:rPr>
          <w:rFonts w:ascii="Times New Roman" w:hAnsi="Times New Roman"/>
          <w:b w:val="false"/>
          <w:bCs w:val="false"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ПОСТАНОВЛЯЕТ:</w:t>
      </w:r>
    </w:p>
    <w:p>
      <w:pPr>
        <w:pStyle w:val="NoSpacing"/>
        <w:ind w:start="0" w:end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1.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Внести изменения в постановление от 25.11.2024 №177-МА и  муниципальную программу «Развитие культуры внутригородского муниципального образования города Севастополя Качинский муниципальный округ» на 2025 год и плановый период 2026 — 2027 годов изложить в новой редакции согласно приложению.</w:t>
      </w:r>
    </w:p>
    <w:p>
      <w:pPr>
        <w:pStyle w:val="NoSpacing"/>
        <w:ind w:start="0" w:end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2. Обнародовать  настоящее постановление в соответствии с Уставом внутригородского муниципального образования города Севастополя Качинский муниципальный округ.</w:t>
      </w:r>
    </w:p>
    <w:p>
      <w:pPr>
        <w:pStyle w:val="NoSpacing"/>
        <w:ind w:start="0" w:end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NoSpacing"/>
        <w:ind w:start="0" w:end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3. Настоящее постановление вступает в силу с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момента обнародования.</w:t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4. Контроль за исполнением настоящего постановления оставляю за собой.</w:t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4"/>
        <w:shd w:val="clear" w:fill="auto"/>
        <w:spacing w:lineRule="auto" w:line="240" w:before="0" w:after="0"/>
        <w:ind w:start="0" w:end="0" w:firstLine="709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tbl>
      <w:tblPr>
        <w:tblW w:w="9535" w:type="dxa"/>
        <w:jc w:val="start"/>
        <w:tblInd w:w="-108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5618"/>
        <w:gridCol w:w="1128"/>
        <w:gridCol w:w="2789"/>
      </w:tblGrid>
      <w:tr>
        <w:trPr/>
        <w:tc>
          <w:tcPr>
            <w:tcW w:w="56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78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Д.М. Васильченко</w:t>
            </w:r>
          </w:p>
        </w:tc>
      </w:tr>
    </w:tbl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 xml:space="preserve">ПриЛожение </w:t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>к постановлению</w:t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>№</w:t>
      </w:r>
      <w:r>
        <w:rPr>
          <w:rFonts w:cs="Book Antiqua" w:ascii="Times New Roman" w:hAnsi="Times New Roman"/>
          <w:caps/>
          <w:sz w:val="20"/>
          <w:szCs w:val="20"/>
        </w:rPr>
        <w:t>____от ______</w:t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spacing w:before="0" w:after="29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 xml:space="preserve">УТВЕРЖДЕНА </w:t>
      </w:r>
    </w:p>
    <w:p>
      <w:pPr>
        <w:pStyle w:val="Normal"/>
        <w:spacing w:before="0" w:after="29"/>
        <w:ind w:start="5670" w:end="0" w:hanging="0"/>
        <w:rPr>
          <w:rFonts w:ascii="Times New Roman" w:hAnsi="Times New Roman" w:cs="Book Antiqua"/>
          <w:sz w:val="20"/>
          <w:szCs w:val="20"/>
        </w:rPr>
      </w:pPr>
      <w:r>
        <w:rPr>
          <w:rFonts w:cs="Book Antiqua" w:ascii="Times New Roman" w:hAnsi="Times New Roman"/>
          <w:sz w:val="20"/>
          <w:szCs w:val="20"/>
        </w:rPr>
        <w:t>постановлением</w:t>
      </w:r>
    </w:p>
    <w:p>
      <w:pPr>
        <w:pStyle w:val="Normal"/>
        <w:spacing w:before="0" w:after="29"/>
        <w:ind w:start="5670" w:end="0" w:hanging="0"/>
        <w:rPr>
          <w:rFonts w:ascii="Times New Roman" w:hAnsi="Times New Roman" w:cs="Book Antiqua"/>
          <w:sz w:val="20"/>
          <w:szCs w:val="20"/>
        </w:rPr>
      </w:pPr>
      <w:r>
        <w:rPr>
          <w:rFonts w:cs="Book Antiqua" w:ascii="Times New Roman" w:hAnsi="Times New Roman"/>
          <w:sz w:val="20"/>
          <w:szCs w:val="20"/>
        </w:rPr>
        <w:t>местной администрации Качинского муниципального округа</w:t>
      </w:r>
      <w:r>
        <w:rPr>
          <w:rFonts w:cs="Book Antiqua" w:ascii="Times New Roman" w:hAnsi="Times New Roman"/>
          <w:caps/>
          <w:sz w:val="20"/>
          <w:szCs w:val="20"/>
        </w:rPr>
        <w:t>№177-МА</w:t>
      </w:r>
      <w:r>
        <w:rPr>
          <w:rFonts w:cs="Book Antiqua" w:ascii="Times New Roman" w:hAnsi="Times New Roman"/>
          <w:sz w:val="20"/>
          <w:szCs w:val="20"/>
        </w:rPr>
        <w:t xml:space="preserve"> от </w:t>
      </w:r>
      <w:r>
        <w:rPr>
          <w:rFonts w:cs="Book Antiqua" w:ascii="Times New Roman" w:hAnsi="Times New Roman"/>
          <w:caps/>
          <w:sz w:val="20"/>
          <w:szCs w:val="20"/>
        </w:rPr>
        <w:t xml:space="preserve"> 25.11.2024 </w:t>
      </w:r>
      <w:r>
        <w:rPr>
          <w:rFonts w:cs="Book Antiqua" w:ascii="Times New Roman" w:hAnsi="Times New Roman"/>
          <w:caps/>
          <w:sz w:val="14"/>
          <w:szCs w:val="14"/>
        </w:rPr>
        <w:t>г.</w:t>
      </w:r>
    </w:p>
    <w:p>
      <w:pPr>
        <w:pStyle w:val="Normal"/>
        <w:ind w:start="5670" w:end="0" w:hanging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внутригородского муниципального образования го</w:t>
      </w:r>
      <w:r>
        <w:rPr>
          <w:rFonts w:eastAsia="SimSun" w:cs="Calibri" w:ascii="Times New Roman" w:hAnsi="Times New Roman"/>
          <w:b/>
          <w:color w:val="00000A"/>
          <w:kern w:val="0"/>
          <w:sz w:val="28"/>
          <w:szCs w:val="28"/>
          <w:lang w:val="ru-RU" w:eastAsia="en-US" w:bidi="ar-SA"/>
        </w:rPr>
        <w:t>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eastAsia="SimSun" w:cs="Calibri" w:ascii="Times New Roman" w:hAnsi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на 2025 год и плановый период 2026 — 2027 годов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eastAsia="SimSun" w:cs="Calibri" w:ascii="Times New Roman" w:hAnsi="Times New Roman"/>
          <w:b/>
          <w:bCs/>
          <w:color w:val="00000A"/>
          <w:kern w:val="0"/>
          <w:sz w:val="28"/>
          <w:szCs w:val="28"/>
          <w:lang w:val="ru-RU" w:eastAsia="en-US" w:bidi="ar-SA"/>
        </w:rPr>
        <w:t>ПАСПОРТ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eastAsia="SimSun" w:cs="Calibri" w:ascii="Times New Roman" w:hAnsi="Times New Roman"/>
          <w:b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муниципальной программы </w:t>
      </w:r>
    </w:p>
    <w:tbl>
      <w:tblPr>
        <w:tblW w:w="9990" w:type="dxa"/>
        <w:jc w:val="start"/>
        <w:tblInd w:w="-431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3379"/>
        <w:gridCol w:w="3309"/>
        <w:gridCol w:w="3302"/>
      </w:tblGrid>
      <w:tr>
        <w:trPr>
          <w:trHeight w:val="400" w:hRule="atLeast"/>
        </w:trPr>
        <w:tc>
          <w:tcPr>
            <w:tcW w:w="3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Местная  администрация Качинского муниципального округа Общий отдел </w:t>
            </w:r>
          </w:p>
        </w:tc>
      </w:tr>
      <w:tr>
        <w:trPr>
          <w:trHeight w:val="400" w:hRule="atLeast"/>
        </w:trPr>
        <w:tc>
          <w:tcPr>
            <w:tcW w:w="33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1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start="0" w:end="0" w:hanging="284"/>
              <w:rPr>
                <w:rFonts w:ascii="Book Antiqua" w:hAnsi="Book Antiqua" w:cs="Arial"/>
              </w:rPr>
            </w:pPr>
            <w:r>
              <w:rPr>
                <w:rFonts w:cs="Arial" w:ascii="Book Antiqua" w:hAnsi="Book Antiqua"/>
              </w:rPr>
              <w:t>Местная администрация  Качинского муниципального округа, Совет Качинского муниципального округа, Учреждения культуры, образовательные учреждения, библиотеки на территории Качинского муниципального округа, общественные организации и творческие союзы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 и показатели их характеризующие</w:t>
            </w:r>
          </w:p>
        </w:tc>
        <w:tc>
          <w:tcPr>
            <w:tcW w:w="3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start="720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false"/>
              <w:bidi w:val="0"/>
              <w:spacing w:lineRule="auto" w:line="276" w:before="0" w:after="0"/>
              <w:ind w:start="454" w:end="0" w:hanging="170"/>
              <w:jc w:val="start"/>
              <w:rPr/>
            </w:pPr>
            <w:r>
              <w:rPr>
                <w:rFonts w:ascii="Times New Roman" w:hAnsi="Times New Roman"/>
              </w:rPr>
              <w:t>Создание условий для развития культуры и организации досуга;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false"/>
              <w:bidi w:val="0"/>
              <w:spacing w:lineRule="auto" w:line="276" w:before="0" w:after="0"/>
              <w:ind w:start="454" w:end="0" w:hanging="170"/>
              <w:jc w:val="start"/>
              <w:rPr/>
            </w:pPr>
            <w:r>
              <w:rPr>
                <w:rFonts w:ascii="Times New Roman" w:hAnsi="Times New Roman"/>
              </w:rPr>
              <w:t>Организация и осуществление мероприятий по работе с детьми и молодежью;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false"/>
              <w:bidi w:val="0"/>
              <w:spacing w:lineRule="auto" w:line="276" w:before="0" w:after="0"/>
              <w:ind w:start="454" w:end="0" w:hanging="170"/>
              <w:jc w:val="start"/>
              <w:rPr/>
            </w:pPr>
            <w:r>
              <w:rPr>
                <w:rFonts w:ascii="Times New Roman" w:hAnsi="Times New Roman"/>
              </w:rPr>
              <w:t>Военно-патриотическое воспитание граждан, проживающих  на территории внутригородского муниципального образования, связь поколений.</w:t>
            </w:r>
          </w:p>
        </w:tc>
        <w:tc>
          <w:tcPr>
            <w:tcW w:w="3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overflowPunct w:val="false"/>
              <w:bidi w:val="0"/>
              <w:spacing w:lineRule="auto" w:line="276" w:before="0" w:after="200"/>
              <w:ind w:start="397" w:end="0" w:hanging="227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граждан, посетивших  культурно-массовые мероприятия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overflowPunct w:val="false"/>
              <w:bidi w:val="0"/>
              <w:spacing w:lineRule="auto" w:line="276" w:before="0" w:after="200"/>
              <w:ind w:start="397" w:end="0" w:hanging="227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Количество проводимых мероприятий в год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start="350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досуговых мероприятий для детей и подростков, проживающих на территории внутригородского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start="350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военно-патриотического воспитания граждан, проживающих на территории внутригородского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start="350" w:end="0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местных и участие в организации и проведении городских праздничных и иных зрелищных мероприятий;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start="350" w:end="0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сохранению и развитию местных традиций и обрядов;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start="350" w:end="0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Связь поколений, развитие уважения и почетного отношения к жителям, которым присвоено звание «Почетный гражданин внутригородского муниципального образования города Севастополя Качинский муниципальный округ»</w:t>
            </w:r>
          </w:p>
        </w:tc>
      </w:tr>
      <w:tr>
        <w:trPr>
          <w:trHeight w:val="400" w:hRule="atLeast"/>
        </w:trPr>
        <w:tc>
          <w:tcPr>
            <w:tcW w:w="3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реализуется в один этап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20</w:t>
            </w:r>
            <w:r>
              <w:rPr>
                <w:rFonts w:eastAsia="SimSun" w:cs="Calibri" w:ascii="Times New Roman" w:hAnsi="Times New Roman"/>
                <w:color w:val="00000A"/>
                <w:kern w:val="0"/>
                <w:sz w:val="22"/>
                <w:szCs w:val="22"/>
                <w:lang w:val="ru-RU" w:eastAsia="en-US" w:bidi="ar-SA"/>
              </w:rPr>
              <w:t>25</w:t>
            </w:r>
            <w:r>
              <w:rPr>
                <w:rFonts w:ascii="Times New Roman" w:hAnsi="Times New Roman"/>
              </w:rPr>
              <w:t xml:space="preserve"> – 2027 годы</w:t>
            </w:r>
          </w:p>
        </w:tc>
      </w:tr>
      <w:tr>
        <w:trPr>
          <w:trHeight w:val="1715" w:hRule="atLeast"/>
        </w:trPr>
        <w:tc>
          <w:tcPr>
            <w:tcW w:w="3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за счет всех источников финансирования с расшифровкой объемов финансирования по годам, тыс. руб.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осуществляется за счёт средств местного бюджета внутригородского муниципального образования города Севастополя Качинский муниципальный округ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ВСЕГО —1118,8 тыс.руб.,  в т.ч. по годам реализации: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 xml:space="preserve">2025 год – </w:t>
            </w:r>
            <w:r>
              <w:rPr>
                <w:rFonts w:eastAsia="SimSun" w:cs="Calibri" w:ascii="Times New Roman" w:hAnsi="Times New Roman"/>
                <w:color w:val="00000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1118,8</w:t>
            </w:r>
            <w:r>
              <w:rPr>
                <w:rFonts w:ascii="Times New Roman" w:hAnsi="Times New Roman"/>
                <w:shd w:fill="auto" w:val="clear"/>
              </w:rPr>
              <w:t xml:space="preserve"> тыс.руб,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–  0,0 тыс.руб.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2027 год –  0,0 тыс.руб.</w:t>
            </w:r>
          </w:p>
        </w:tc>
      </w:tr>
      <w:tr>
        <w:trPr>
          <w:trHeight w:val="709" w:hRule="atLeast"/>
        </w:trPr>
        <w:tc>
          <w:tcPr>
            <w:tcW w:w="33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start="0" w:end="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целей муниципальной программы с целями государственных программ и стратегией развития города Севастополя</w:t>
            </w:r>
          </w:p>
        </w:tc>
        <w:tc>
          <w:tcPr>
            <w:tcW w:w="661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start="510" w:end="0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целей муниципальной программы осуществляется в соответствии с Законом города Севастополя от 21.07.2017  №357-ЗС «Об утверждении Стратегии социально-экономического развития города Севастополя до 2030 года»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>
      <w:pPr>
        <w:pStyle w:val="Normal"/>
        <w:ind w:start="0" w:end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целевая программа «Развитие культуры внутригородского муниципального образования города Севастополя Качинский муниципальный округ» (далее –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>
      <w:pPr>
        <w:pStyle w:val="Normal"/>
        <w:tabs>
          <w:tab w:val="clear" w:pos="709"/>
          <w:tab w:val="left" w:pos="104" w:leader="none"/>
        </w:tabs>
        <w:spacing w:before="0" w:after="29"/>
        <w:ind w:start="0" w:end="0" w:firstLine="709"/>
        <w:jc w:val="both"/>
        <w:rPr/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>
      <w:pPr>
        <w:pStyle w:val="Normal"/>
        <w:spacing w:before="0" w:after="29"/>
        <w:ind w:start="0" w:end="0" w:firstLine="709"/>
        <w:jc w:val="both"/>
        <w:rPr/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Закон города Севастополя  от 30.12.2014г. №102-ЗС «О местном самоуправлении в городе Севастополе»;</w:t>
      </w:r>
    </w:p>
    <w:p>
      <w:pPr>
        <w:pStyle w:val="Normal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Уставом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pacing w:before="0" w:after="0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Муниципальная программа объединяет в себе несколько направлений деятельности органов местного самоуправления, установленных Законом города Севастополя  от 30.12.2014г. №102-ЗС «О местном самоуправлении в городе Севастополе»: создание условий для развития культуры и организации досуга, о</w:t>
      </w:r>
      <w:r>
        <w:rPr>
          <w:rFonts w:ascii="Times New Roman" w:hAnsi="Times New Roman"/>
          <w:sz w:val="24"/>
          <w:szCs w:val="24"/>
        </w:rPr>
        <w:t>рганизация и осуществление мероприятий по работе с детьми и молодежью и о</w:t>
      </w: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 xml:space="preserve">существление военно-патриотического воспитания граждан Российской Федерации, в том числе детей и молодежи на территории внутригородского муниципального образования. Продолжая  традиции, </w:t>
      </w:r>
      <w:r>
        <w:rPr>
          <w:rFonts w:cs="Arial" w:ascii="Times New Roman" w:hAnsi="Times New Roman"/>
          <w:sz w:val="24"/>
          <w:szCs w:val="24"/>
        </w:rPr>
        <w:t xml:space="preserve"> заложенные  в  российском  обществе  по  возрождению духовности, становлению национальной культуры, созданию условий для развития социальной  и  культурной  самореализации  личности,  органы   местного  самоуправления  призваны  оказывать  всяческое  содействие  и поддержку  учреждениям  культуры  в  их  основной  деятельности  –  организации содержательного  досуга  населения,  способствовать  удовлетворению  культурных потребностей  граждан,  обеспечению  их  участия  в  общественной  и  культурной жизни, повышению социальной роли сферы культуры в целом.  Праздники и мероприятия по сохранению традиций выступают мощным фактором идейной </w:t>
      </w:r>
    </w:p>
    <w:p>
      <w:pPr>
        <w:pStyle w:val="Normal"/>
        <w:spacing w:before="0" w:after="0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консолидации нации, обеспечивающими духовно-культурную идентификацию населения, социализацию подрастающего поколения, воспроизводство и передачу духовных и морально-нравственных ценностей, которые напрямую связаны с патриотическим воспитанием.</w:t>
      </w:r>
    </w:p>
    <w:p>
      <w:pPr>
        <w:pStyle w:val="Normal"/>
        <w:spacing w:before="0" w:after="0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Во внутригородском муниципального образования города Севастополя Качинский муниципальный округ по организации культурно-массовых мероприятий, мероприятий патриотической, гражданской, исторической, направленности осуществляют следующие учреждения: </w:t>
      </w:r>
    </w:p>
    <w:p>
      <w:pPr>
        <w:pStyle w:val="Normal"/>
        <w:bidi w:val="0"/>
        <w:spacing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1) Дом культуры с. Вишневое, который является структурным подразделением ГБУК города Севастополя «Культурный комплекс «Корабел» по адресу: с.Вишневое, ул. Подгорная, 29 б</w:t>
      </w:r>
    </w:p>
    <w:p>
      <w:pPr>
        <w:pStyle w:val="Normal"/>
        <w:bidi w:val="0"/>
        <w:spacing w:before="0" w:after="29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2) Библиотека-филиал №37 в п.Кача по улице Нестерова, д. 5,  Библиотека-филиал № 34 в с. Полюшко, ул. Гагарина, 3, библиотека-филиал №35 в с.Осипенко, пер. Виноградаря, 4,  Библиотека филиал №36 в с. Вишневое по ул. Подгорная 29Б.</w:t>
      </w:r>
    </w:p>
    <w:p>
      <w:pPr>
        <w:pStyle w:val="Normal"/>
        <w:bidi w:val="0"/>
        <w:spacing w:before="0" w:after="29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На территории имеются объекты культурного наследия регионального значения, исторические памятники, воинские захоронения и обелиски. Многие из объектов расположены в местах общего пользования, парках, скверах. Также мероприятия могут проводится в учреждениях и организациях по согласованию сторон.</w:t>
      </w:r>
    </w:p>
    <w:p>
      <w:pPr>
        <w:pStyle w:val="Normal"/>
        <w:spacing w:before="0" w:after="86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Программа  направлена  на  реализацию  ее  приоритетных  направлений  в развитии  культуры, обеспечения концентрации финансовых,  и других ресурсов,  а  также  координации  деятельности учреждений  и организаций для решения актуальных проблем развития культуры, сохранение местных традиций, патриотического воспитания. </w:t>
      </w:r>
    </w:p>
    <w:p>
      <w:pPr>
        <w:pStyle w:val="Normal"/>
        <w:spacing w:before="0" w:after="86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Программа  призвана  способствовать  сохранению  и  развитию  учреждений культуры, находящихся на территории Качинского муниципального округа, распространение и развитие национальной культуры, формирование патриотического менталитета общества путем уважения  к собственной истории, к делам и традициям старших поколений.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Реализуя полномочия органов местного самоуправления в сфере культуры Качинского муниципального округа сталкиваются с такими системными проблемами, как: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- неоднородность и неравномерность обеспечения населения Качинского муниципального округа услугами организаций культуры;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утрата частью населения Качинского муниципального округа, особенно молодежью, основ традиционной народной культуры;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снижение конкурентоспособности бюджетной культуры по сравнению с коммерческой развлекательной культурой;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 Качинского муниципального округа, определяется основными направлениями государственной политики по развитию сферы культуры и массовых коммуникаций в Российской Федерации.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Приоритеты муниципальной политики в сфере реализации Программы, цели, задачи и описание конечных результатов Программы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Целью  Программы  является  Создание условий для развития культуры и организации досуга; о</w:t>
      </w:r>
      <w:r>
        <w:rPr>
          <w:rFonts w:ascii="Times New Roman" w:hAnsi="Times New Roman"/>
          <w:sz w:val="24"/>
          <w:szCs w:val="24"/>
        </w:rPr>
        <w:t xml:space="preserve">рганизация и осуществление мероприятий по работе с детьми и молодежью; </w:t>
      </w:r>
      <w:r>
        <w:rPr>
          <w:rFonts w:cs="Arial" w:ascii="Times New Roman" w:hAnsi="Times New Roman"/>
          <w:sz w:val="24"/>
          <w:szCs w:val="24"/>
        </w:rPr>
        <w:t>осуществление военно-патриотического воспитания граждан Российской Федерации на территории внутригородского муниципального образования.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FFFFFF" w:val="clear"/>
        </w:rPr>
        <w:t>Основные задачи Программы: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start="35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осуществление досуговых мероприятий для детей и подростков, проживающих на территории внутригородского муниципального образования;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start="35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военно-патриотического воспитания граждан Российской Федерации на территории внутригородского муниципального образования;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start="350" w:end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местных и участие в организации и проведении городских праздничных и иных зрелищных мероприятий;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start="350" w:end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мероприятий по сохранению и развитию местных традиций и обрядов.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start="350" w:end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поколений, развитие уважения и почетного отношения к жителям, которым присвоено звание «Почетный гражданин внутригородского муниципального образования города Севастополя Качинский муниципальный округ»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start="0" w:end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конечные результаты реализации муниципальной программы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start="510" w:end="0" w:hanging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позволит обеспечить: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276" w:before="0" w:after="0"/>
        <w:ind w:start="510" w:end="0" w:hanging="397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обеспечения увеличения участия жителей округа в проводимых мероприятиях (чел.);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276" w:before="0" w:after="0"/>
        <w:ind w:start="510" w:end="0" w:hanging="397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культурной, творческой деятельности детей и подростков (чел.)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276" w:before="0" w:after="0"/>
        <w:ind w:start="510" w:end="0" w:hanging="397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42" w:leader="none"/>
        </w:tabs>
        <w:suppressAutoHyphens w:val="true"/>
        <w:overflowPunct w:val="false"/>
        <w:bidi w:val="0"/>
        <w:spacing w:lineRule="auto" w:line="276" w:before="0" w:after="0"/>
        <w:ind w:start="510" w:end="0" w:hanging="397"/>
        <w:jc w:val="star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Реализацию государственной политики в области военно-патриотического и гражданского воспитания граждан, детей, подростков и молодежи</w:t>
      </w:r>
    </w:p>
    <w:p>
      <w:pPr>
        <w:pStyle w:val="Normal"/>
        <w:tabs>
          <w:tab w:val="clear" w:pos="709"/>
          <w:tab w:val="left" w:pos="142" w:leader="none"/>
        </w:tabs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Плановое значение целевых показателей Программы  представлены  в Приложении 1 к Программе.</w:t>
      </w:r>
    </w:p>
    <w:p>
      <w:pPr>
        <w:pStyle w:val="Normal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Реализация  системы  программных  мероприятий  позволит  создать благоприятные  условия  для развития  культуры.  Всестороннее  развитие  культуры  в  процессе  реализации  Программы  будет  способствовать  сохранению  лучших  традиций  и  продвижению новаций  в культурную жизнь общества, нравственному, культурному, патриотическому воспитанию граждан, привлечению широких слоев населения к культурной жизни  Качинского  муниципального  округа,  воспитанию  патриотизма  и гражданской ответственности среди детей и молодежи.</w:t>
      </w:r>
    </w:p>
    <w:p>
      <w:pPr>
        <w:pStyle w:val="Normal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Программа реализуется в один этап.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Обоснование объёма финансовых ресурсов, необходимых для реализации Программы, основные мероприятия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округа. Ответственным исполнителем Программы является Общий отдел местной администрации Качинского муниципального округа.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Расчёт финансового обеспечения мероприятий Программы осуществляется с учётом изменений прогнозной численности населения участвующего в культурно-зрелищных мероприятиях в результате реализации Программы с учетом особенностей и требований, сложившихся на территории города Севастополя.</w:t>
      </w:r>
    </w:p>
    <w:p>
      <w:pPr>
        <w:pStyle w:val="Normal"/>
        <w:shd w:val="clear" w:fill="FFFFFF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Финансирование Программы проводится за счёт средств местного бюджета.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Качинский муниципальный округ».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>
      <w:pPr>
        <w:pStyle w:val="Normal"/>
        <w:shd w:val="clear" w:fill="FFFFFF"/>
        <w:spacing w:lineRule="auto" w:line="240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Контроль по целевому использованию бюджетных средств возлагается на главного распорядителя бюджетных средств – местную  администрацию Качинского муниципального округа.</w:t>
      </w:r>
    </w:p>
    <w:p>
      <w:pPr>
        <w:pStyle w:val="NoSpacing"/>
        <w:spacing w:lineRule="auto" w:line="240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Для обеспечения выполнения задач Программы предусматривается осуществление следующих мер: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определение приоритетности мероприятий для населения, и их роль в создании положительного имиджа муниципального округа;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формирование Программы на основе заявок и предложений учреждений культуры округа, руководителей творческих и трудовых коллективов, общественных союзов, объединений и организаций.</w:t>
      </w:r>
    </w:p>
    <w:p>
      <w:pPr>
        <w:pStyle w:val="Normal"/>
        <w:shd w:val="clear" w:fill="FFFFFF"/>
        <w:spacing w:before="0" w:after="29"/>
        <w:ind w:start="0" w:end="0" w:firstLine="709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sz w:val="24"/>
          <w:szCs w:val="24"/>
          <w:shd w:fill="auto" w:val="clear"/>
        </w:rPr>
        <w:t>Перечень основных мероприятий и ресурсное обеспечение Программы приведены в Приложении 2  к Программе.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Оценка планируемой эффективности Программы</w:t>
      </w:r>
    </w:p>
    <w:p>
      <w:pPr>
        <w:pStyle w:val="Normal"/>
        <w:shd w:val="clear" w:fill="FFFFFF"/>
        <w:ind w:start="-78" w:end="0" w:firstLine="78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качестве критериев оценки эффективности Программы используются целевые показатели (индикаторы), приведенные в Приложении 1 «Сведения о показателях (индикаторах) муниципальной программы «Развитие культуры  внутригородского муниципального образования  города Севастополя Качинский муниципальный округ». Эффективность реализации Программы определяется степенью достижения плановых значений целевых показателей (индикаторов).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Финансовое обеспечение Программы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Финансовое обеспечение Программы осуществляется за счет средств бюджета внутригородского муниципального образования города Севастополя Качинский муниципальный округ. Объем финансирования уточняется ежегодно при  формировании бюджета на очередной финансовый год и плановый период.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 управления и контроль за ходом реализации Программы</w:t>
      </w:r>
    </w:p>
    <w:p>
      <w:pPr>
        <w:pStyle w:val="NoSpacing"/>
        <w:ind w:start="0" w:end="0" w:firstLine="6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Текущее управление и контроль за выполнением Программы осуществляется местной администрацией и Советом Качинского муниципального округа.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Непосредственный контроль за выполнением осуществляет: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главный распорядитель бюджетных средств – за целевым и эффективным использованием выделенных на реализацию Программы ресурсов – местная администрация Качинского муниципального округа, заместитель Главы МА Качинского МО.</w:t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start="0" w:end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35" w:type="dxa"/>
        <w:jc w:val="start"/>
        <w:tblInd w:w="-108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5618"/>
        <w:gridCol w:w="1128"/>
        <w:gridCol w:w="2789"/>
      </w:tblGrid>
      <w:tr>
        <w:trPr/>
        <w:tc>
          <w:tcPr>
            <w:tcW w:w="56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И.о. Главы ВМО Качинский МО,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Главы местной администрации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78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Д.М. Васильченко</w:t>
            </w:r>
          </w:p>
        </w:tc>
      </w:tr>
    </w:tbl>
    <w:p>
      <w:pPr>
        <w:pStyle w:val="Normal"/>
        <w:spacing w:lineRule="auto" w:line="240" w:before="0" w:after="0"/>
        <w:ind w:start="5670" w:end="0" w:hanging="0"/>
        <w:rPr>
          <w:rFonts w:ascii="Times New Roman" w:hAnsi="Times New Roman" w:cs="Book Antiqua"/>
          <w:caps/>
          <w:color w:val="000000"/>
          <w:sz w:val="24"/>
          <w:szCs w:val="24"/>
        </w:rPr>
      </w:pPr>
      <w:r>
        <w:rPr>
          <w:rFonts w:cs="Book Antiqua" w:ascii="Times New Roman" w:hAnsi="Times New Roman"/>
          <w:caps/>
          <w:color w:val="000000"/>
          <w:sz w:val="24"/>
          <w:szCs w:val="24"/>
        </w:rPr>
      </w:r>
    </w:p>
    <w:p>
      <w:pPr>
        <w:pStyle w:val="Normal"/>
        <w:shd w:val="clear" w:fill="FFFFFF"/>
        <w:ind w:start="567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0" w:after="200"/>
        <w:ind w:start="5102" w:end="0" w:hanging="0"/>
        <w:jc w:val="star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1</w:t>
        <w:br/>
        <w:t>к муниципальной программе «</w:t>
      </w:r>
      <w:r>
        <w:rPr>
          <w:rFonts w:cs="Arial" w:ascii="Times New Roman" w:hAnsi="Times New Roman"/>
          <w:sz w:val="20"/>
          <w:szCs w:val="20"/>
        </w:rPr>
        <w:t>Развитие культуры внутригородского муниципального о</w:t>
      </w:r>
      <w:r>
        <w:rPr>
          <w:rFonts w:eastAsia="SimSun" w:cs="Arial" w:ascii="Times New Roman" w:hAnsi="Times New Roman"/>
          <w:color w:val="00000A"/>
          <w:kern w:val="0"/>
          <w:sz w:val="20"/>
          <w:szCs w:val="20"/>
          <w:lang w:val="ru-RU" w:eastAsia="en-US" w:bidi="ar-SA"/>
        </w:rPr>
        <w:t>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Плановые значения целевых показателей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муниципальной программы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«Развитие культуры внутригородского муниципального образования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single"/>
        </w:rPr>
        <w:t>на 2025 год и плановый период 2026 — 2027 годов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885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6"/>
        <w:gridCol w:w="3117"/>
        <w:gridCol w:w="1552"/>
        <w:gridCol w:w="1134"/>
        <w:gridCol w:w="992"/>
        <w:gridCol w:w="1108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Плановые значения целевого показателя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граждан, посетивших  культурно-массовые мероприятия 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3600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3700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 них детей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1400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1400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молодёжи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700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700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700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проводимых мероприятий в год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10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10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11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2.1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 них по сохранению местных традиций и обрядов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3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2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3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 военно-патриотическому воспитанию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3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Освоение средств, выделенных для реализации программы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fill="FFFFFF"/>
        <w:ind w:start="5670" w:end="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Приложение 2 </w:t>
        <w:br/>
        <w:t>к муниципальной программе «</w:t>
      </w:r>
      <w:r>
        <w:rPr>
          <w:rFonts w:cs="Arial" w:ascii="Times New Roman" w:hAnsi="Times New Roman"/>
          <w:sz w:val="20"/>
          <w:szCs w:val="20"/>
        </w:rPr>
        <w:t>Развитие культуры внутригородского муниципального образования города Севастополя Качинский муниципаль</w:t>
      </w:r>
      <w:r>
        <w:rPr>
          <w:rFonts w:eastAsia="SimSun" w:cs="Calibri" w:ascii="Times New Roman" w:hAnsi="Times New Roman"/>
          <w:color w:val="000000"/>
          <w:kern w:val="0"/>
          <w:sz w:val="20"/>
          <w:szCs w:val="20"/>
          <w:lang w:val="ru-RU" w:eastAsia="en-US" w:bidi="ar-SA"/>
        </w:rPr>
        <w:t>ный округ»</w:t>
      </w:r>
    </w:p>
    <w:p>
      <w:pPr>
        <w:pStyle w:val="Normal"/>
        <w:shd w:val="clear" w:fill="FFFFFF"/>
        <w:ind w:start="5670" w:end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</w:rPr>
        <w:t xml:space="preserve">Перечень  основных мероприятий и ресурсное обеспечение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 xml:space="preserve">муниципальной программы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>«Развитие культур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>ы внутригородского муниципального образования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>на 2025 год и плановый период 2026 — 2027 годов</w:t>
      </w:r>
    </w:p>
    <w:tbl>
      <w:tblPr>
        <w:tblW w:w="14785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3"/>
        <w:gridCol w:w="2710"/>
        <w:gridCol w:w="1751"/>
        <w:gridCol w:w="1366"/>
        <w:gridCol w:w="1083"/>
        <w:gridCol w:w="1634"/>
        <w:gridCol w:w="5717"/>
      </w:tblGrid>
      <w:tr>
        <w:trPr>
          <w:tblHeader w:val="true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start="0" w:end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blHeader w:val="true"/>
          <w:trHeight w:val="361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start="720" w:end="0" w:hanging="7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50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Праздничные   мероприятия,  мероприятия по сохранению местных традиций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I-IV </w:t>
            </w:r>
            <w:r>
              <w:rPr>
                <w:rFonts w:ascii="Times New Roman" w:hAnsi="Times New Roman"/>
                <w:lang w:val="ru-RU"/>
              </w:rPr>
              <w:t>кварталы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местный бюджет 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false"/>
              <w:bidi w:val="0"/>
              <w:spacing w:lineRule="auto" w:line="276" w:before="0" w:after="0"/>
              <w:ind w:start="227" w:end="0" w:hanging="113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увеличения участия жителей округа в проводимых мероприятиях (чел.);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false"/>
              <w:bidi w:val="0"/>
              <w:spacing w:lineRule="auto" w:line="276" w:before="0" w:after="0"/>
              <w:ind w:start="227" w:end="0" w:hanging="113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      </w:r>
          </w:p>
        </w:tc>
      </w:tr>
      <w:tr>
        <w:trPr>
          <w:trHeight w:val="1482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Мероприятия для детей и молодежи,  посвященные  праздничным,  памятным датам и традициям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bookmarkStart w:id="0" w:name="__DdeLink__1503_25597169292"/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  <w:lang w:val="en-US"/>
              </w:rPr>
              <w:t xml:space="preserve">I-IV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  <w:lang w:val="ru-RU"/>
              </w:rPr>
              <w:t>кварталы</w:t>
            </w:r>
            <w:bookmarkEnd w:id="0"/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местный бюджет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324,00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false"/>
              <w:bidi w:val="0"/>
              <w:spacing w:lineRule="auto" w:line="276" w:before="0" w:after="0"/>
              <w:ind w:start="227" w:end="0" w:hanging="113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культурной, творческой деятельности детей и подростков (чел.)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false"/>
              <w:bidi w:val="0"/>
              <w:spacing w:lineRule="auto" w:line="276" w:before="0" w:after="0"/>
              <w:ind w:start="227" w:end="0" w:hanging="113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      </w:r>
          </w:p>
        </w:tc>
      </w:tr>
      <w:tr>
        <w:trPr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Мероприятия по военно-патриотическому воспитанию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I-IV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кварталы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false"/>
              <w:bidi w:val="0"/>
              <w:spacing w:lineRule="auto" w:line="276" w:before="0" w:after="0"/>
              <w:ind w:start="340" w:end="0" w:hanging="113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государственной политики в области военно-патриотического и гражданского воспитания граждан, детей, подростков и молодежи</w:t>
            </w:r>
          </w:p>
        </w:tc>
      </w:tr>
      <w:tr>
        <w:trPr>
          <w:cantSplit w:val="true"/>
        </w:trPr>
        <w:tc>
          <w:tcPr>
            <w:tcW w:w="6350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0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1 118,800</w:t>
            </w:r>
          </w:p>
        </w:tc>
        <w:tc>
          <w:tcPr>
            <w:tcW w:w="57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start="340" w:end="0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start="0" w:end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before="0" w:after="0"/>
        <w:ind w:start="0" w:end="0" w:hanging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Согласовано: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Зам. Главы — 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руководитель аппарата</w:t>
        <w:tab/>
        <w:t>__________</w:t>
        <w:tab/>
        <w:t xml:space="preserve"> __________ Ю.П. Курбатова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 ФЭО       </w:t>
        <w:tab/>
        <w:tab/>
        <w:t>__________</w:t>
        <w:tab/>
        <w:t xml:space="preserve"> __________ И.С. Кучер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 ОО </w:t>
        <w:tab/>
        <w:tab/>
        <w:tab/>
        <w:t>__________</w:t>
        <w:tab/>
        <w:t xml:space="preserve"> __________ О.Н. Чеплеева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Ответственный по МП _____________  ____________  В.А.Серкова</w:t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14"/>
        <w:shd w:val="clear" w:fill="auto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Контрактный управляющий _____________  ____________  Ю.И.Купчинская</w:t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Garamond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Verdana">
    <w:charset w:val="cc" w:characterSet="windows-1251"/>
    <w:family w:val="roman"/>
    <w:pitch w:val="variable"/>
  </w:font>
  <w:font w:name="Book Antiqua">
    <w:charset w:val="cc" w:characterSet="windows-125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star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tabs>
        <w:tab w:val="clear" w:pos="709"/>
        <w:tab w:val="left" w:pos="2880" w:leader="none"/>
      </w:tabs>
      <w:spacing w:before="240" w:after="60"/>
      <w:ind w:start="2880" w:end="0" w:hanging="720"/>
      <w:outlineLvl w:val="3"/>
    </w:pPr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tabs>
        <w:tab w:val="clear" w:pos="709"/>
        <w:tab w:val="left" w:pos="3600" w:leader="none"/>
      </w:tabs>
      <w:spacing w:before="240" w:after="60"/>
      <w:ind w:start="3600" w:end="0" w:hanging="72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tabs>
        <w:tab w:val="clear" w:pos="709"/>
        <w:tab w:val="left" w:pos="4320" w:leader="none"/>
      </w:tabs>
      <w:spacing w:before="240" w:after="60"/>
      <w:ind w:start="4320" w:end="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Normal"/>
    <w:next w:val="Normal"/>
    <w:qFormat/>
    <w:pPr>
      <w:numPr>
        <w:ilvl w:val="0"/>
        <w:numId w:val="0"/>
      </w:numPr>
      <w:tabs>
        <w:tab w:val="clear" w:pos="709"/>
        <w:tab w:val="left" w:pos="5040" w:leader="none"/>
      </w:tabs>
      <w:spacing w:before="240" w:after="60"/>
      <w:ind w:start="5040" w:end="0" w:hanging="720"/>
      <w:outlineLvl w:val="6"/>
    </w:pPr>
    <w:rPr>
      <w:rFonts w:ascii="Calibri" w:hAnsi="Calibri" w:eastAsia="Times New Roman" w:cs="Times New Roman"/>
      <w:lang w:val="en-US" w:eastAsia="en-US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tabs>
        <w:tab w:val="clear" w:pos="709"/>
        <w:tab w:val="left" w:pos="5760" w:leader="none"/>
      </w:tabs>
      <w:spacing w:before="240" w:after="60"/>
      <w:ind w:start="5760" w:end="0" w:hanging="720"/>
      <w:outlineLvl w:val="7"/>
    </w:pPr>
    <w:rPr>
      <w:rFonts w:ascii="Calibri" w:hAnsi="Calibri" w:eastAsia="Times New Roman" w:cs="Times New Roman"/>
      <w:i/>
      <w:iCs/>
      <w:lang w:val="en-US" w:eastAsia="en-US"/>
    </w:rPr>
  </w:style>
  <w:style w:type="paragraph" w:styleId="9">
    <w:name w:val="Heading 9"/>
    <w:basedOn w:val="Normal"/>
    <w:next w:val="Normal"/>
    <w:qFormat/>
    <w:pPr>
      <w:numPr>
        <w:ilvl w:val="0"/>
        <w:numId w:val="0"/>
      </w:numPr>
      <w:tabs>
        <w:tab w:val="clear" w:pos="709"/>
        <w:tab w:val="left" w:pos="6480" w:leader="none"/>
      </w:tabs>
      <w:spacing w:before="240" w:after="60"/>
      <w:ind w:start="6480" w:end="0" w:hanging="720"/>
      <w:outlineLvl w:val="8"/>
    </w:pPr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DefaultParagraphFont">
    <w:name w:val="Default Paragraph Font"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Bookmark">
    <w:name w:val="bookmark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Style6">
    <w:name w:val="Выделение"/>
    <w:qFormat/>
    <w:rPr>
      <w:i/>
      <w:iCs/>
    </w:rPr>
  </w:style>
  <w:style w:type="character" w:styleId="Pagenumber">
    <w:name w:val="page number"/>
    <w:basedOn w:val="DefaultParagraphFont"/>
    <w:qFormat/>
    <w:rPr/>
  </w:style>
  <w:style w:type="character" w:styleId="Style7">
    <w:name w:val="Нижний колонтитул Знак"/>
    <w:basedOn w:val="DefaultParagraphFont"/>
    <w:qFormat/>
    <w:rPr>
      <w:sz w:val="24"/>
      <w:szCs w:val="24"/>
    </w:rPr>
  </w:style>
  <w:style w:type="character" w:styleId="11">
    <w:name w:val="Заголовок 1 Знак"/>
    <w:basedOn w:val="DefaultParagraphFont"/>
    <w:qFormat/>
    <w:rPr>
      <w:b/>
      <w:i/>
      <w:sz w:val="32"/>
      <w:lang w:val="en-US"/>
    </w:rPr>
  </w:style>
  <w:style w:type="character" w:styleId="21">
    <w:name w:val="Заголовок 2 Знак"/>
    <w:basedOn w:val="DefaultParagraphFont"/>
    <w:qFormat/>
    <w:rPr>
      <w:b/>
      <w:i/>
      <w:color w:val="000000"/>
      <w:sz w:val="32"/>
    </w:rPr>
  </w:style>
  <w:style w:type="character" w:styleId="31">
    <w:name w:val="Заголовок 3 Знак"/>
    <w:basedOn w:val="DefaultParagraphFont"/>
    <w:qFormat/>
    <w:rPr>
      <w:rFonts w:ascii="Arial" w:hAnsi="Arial" w:cs="Arial"/>
      <w:b/>
      <w:bCs/>
      <w:sz w:val="26"/>
      <w:szCs w:val="26"/>
    </w:rPr>
  </w:style>
  <w:style w:type="character" w:styleId="Style8">
    <w:name w:val="Без интервала Знак"/>
    <w:qFormat/>
    <w:rPr>
      <w:rFonts w:ascii="Calibri" w:hAnsi="Calibri"/>
      <w:sz w:val="22"/>
      <w:szCs w:val="22"/>
    </w:rPr>
  </w:style>
  <w:style w:type="character" w:styleId="22">
    <w:name w:val="Основной текст (2)_"/>
    <w:basedOn w:val="DefaultParagraphFont"/>
    <w:qFormat/>
    <w:rPr>
      <w:sz w:val="22"/>
      <w:szCs w:val="22"/>
      <w:shd w:fill="FFFFFF" w:val="clear"/>
    </w:rPr>
  </w:style>
  <w:style w:type="character" w:styleId="51">
    <w:name w:val="Основной текст (5)_"/>
    <w:basedOn w:val="DefaultParagraphFont"/>
    <w:qFormat/>
    <w:rPr>
      <w:shd w:fill="FFFFFF" w:val="clear"/>
    </w:rPr>
  </w:style>
  <w:style w:type="character" w:styleId="61">
    <w:name w:val="Основной текст (6)_"/>
    <w:basedOn w:val="DefaultParagraphFont"/>
    <w:qFormat/>
    <w:rPr>
      <w:sz w:val="22"/>
      <w:szCs w:val="22"/>
      <w:shd w:fill="FFFFFF" w:val="clear"/>
    </w:rPr>
  </w:style>
  <w:style w:type="character" w:styleId="4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2">
    <w:name w:val="Заголовок 5 Знак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2">
    <w:name w:val="Заголовок 6 Знак"/>
    <w:basedOn w:val="DefaultParagraphFont"/>
    <w:qFormat/>
    <w:rPr>
      <w:b/>
      <w:bCs/>
      <w:sz w:val="22"/>
      <w:szCs w:val="22"/>
      <w:lang w:val="en-US" w:eastAsia="en-US"/>
    </w:rPr>
  </w:style>
  <w:style w:type="character" w:styleId="71">
    <w:name w:val="Заголовок 7 Знак"/>
    <w:basedOn w:val="DefaultParagraphFont"/>
    <w:qFormat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1">
    <w:name w:val="Заголовок 8 Знак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1">
    <w:name w:val="Заголовок 9 Знак"/>
    <w:basedOn w:val="DefaultParagraphFont"/>
    <w:qFormat/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Style9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pfo1">
    <w:name w:val="spfo1"/>
    <w:qFormat/>
    <w:rPr>
      <w:rFonts w:cs="Times New Roman"/>
    </w:rPr>
  </w:style>
  <w:style w:type="character" w:styleId="32">
    <w:name w:val="Основной текст (3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>
    <w:name w:val="Основной текст (2) + Малые прописные"/>
    <w:basedOn w:val="22"/>
    <w:qFormat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>
    <w:name w:val="Заголовок №6_"/>
    <w:basedOn w:val="DefaultParagraphFont"/>
    <w:qFormat/>
    <w:rPr>
      <w:sz w:val="28"/>
      <w:szCs w:val="28"/>
      <w:shd w:fill="FFFFFF" w:val="clear"/>
    </w:rPr>
  </w:style>
  <w:style w:type="character" w:styleId="92">
    <w:name w:val="Основной текст (9) + Курсив"/>
    <w:basedOn w:val="DefaultParagraphFont"/>
    <w:qFormat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>
    <w:name w:val="Основной текст (2) Exac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>
    <w:name w:val="Char Style 7"/>
    <w:qFormat/>
    <w:rPr>
      <w:sz w:val="26"/>
      <w:shd w:fill="FFFFFF" w:val="clear"/>
    </w:rPr>
  </w:style>
  <w:style w:type="character" w:styleId="33">
    <w:name w:val="Основной текст 3 Знак"/>
    <w:basedOn w:val="DefaultParagraphFont"/>
    <w:qFormat/>
    <w:rPr>
      <w:sz w:val="16"/>
      <w:szCs w:val="16"/>
    </w:rPr>
  </w:style>
  <w:style w:type="character" w:styleId="42">
    <w:name w:val="Основной текст (4)_"/>
    <w:basedOn w:val="DefaultParagraphFont"/>
    <w:qFormat/>
    <w:rPr>
      <w:sz w:val="28"/>
      <w:szCs w:val="28"/>
      <w:shd w:fill="FFFFFF" w:val="clear"/>
    </w:rPr>
  </w:style>
  <w:style w:type="character" w:styleId="285pt">
    <w:name w:val="Основной текст (2) + 8;5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>
    <w:name w:val="Основной текст (2) + 10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next w:val="Style12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ed">
    <w:name w:val="Body Text, Indented"/>
    <w:basedOn w:val="Normal"/>
    <w:qFormat/>
    <w:pPr>
      <w:spacing w:lineRule="auto" w:line="312"/>
      <w:ind w:start="0" w:end="0"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">
    <w:name w:val="Абзац списка1"/>
    <w:basedOn w:val="Normal"/>
    <w:qFormat/>
    <w:pPr>
      <w:spacing w:before="0" w:after="0"/>
      <w:ind w:start="720" w:end="0" w:hanging="0"/>
      <w:contextualSpacing/>
    </w:pPr>
    <w:rPr>
      <w:rFonts w:ascii="Calibri" w:hAnsi="Calibri" w:cs="Microsoft Uighur"/>
    </w:rPr>
  </w:style>
  <w:style w:type="paragraph" w:styleId="Style16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13">
    <w:name w:val="Без интервала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start="720" w:end="0" w:hanging="0"/>
      <w:contextualSpacing/>
    </w:pPr>
    <w:rPr>
      <w:rFonts w:ascii="Calibri" w:hAnsi="Calibri"/>
      <w:sz w:val="22"/>
      <w:szCs w:val="22"/>
    </w:rPr>
  </w:style>
  <w:style w:type="paragraph" w:styleId="Rtecenter">
    <w:name w:val="rtecenter"/>
    <w:basedOn w:val="Normal"/>
    <w:qFormat/>
    <w:pPr>
      <w:spacing w:before="280" w:after="280"/>
    </w:pPr>
    <w:rPr/>
  </w:style>
  <w:style w:type="paragraph" w:styleId="Rteindent1">
    <w:name w:val="rteindent1"/>
    <w:basedOn w:val="Normal"/>
    <w:qFormat/>
    <w:pPr>
      <w:spacing w:before="280" w:after="280"/>
    </w:pPr>
    <w:rPr/>
  </w:style>
  <w:style w:type="paragraph" w:styleId="Rteindent2">
    <w:name w:val="rteindent2"/>
    <w:basedOn w:val="Normal"/>
    <w:qFormat/>
    <w:pPr>
      <w:spacing w:before="280" w:after="280"/>
    </w:pPr>
    <w:rPr/>
  </w:style>
  <w:style w:type="paragraph" w:styleId="Rteleftrteindent1">
    <w:name w:val="rteleft rteindent1"/>
    <w:basedOn w:val="Normal"/>
    <w:qFormat/>
    <w:pPr>
      <w:spacing w:before="280" w:after="280"/>
    </w:pPr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lineRule="auto" w:line="240" w:before="540" w:after="780"/>
      <w:ind w:start="0" w:end="0" w:hanging="320"/>
      <w:jc w:val="both"/>
    </w:pPr>
    <w:rPr>
      <w:sz w:val="22"/>
      <w:szCs w:val="22"/>
    </w:rPr>
  </w:style>
  <w:style w:type="paragraph" w:styleId="53">
    <w:name w:val="Основной текст (5)"/>
    <w:basedOn w:val="Normal"/>
    <w:qFormat/>
    <w:pPr>
      <w:widowControl w:val="false"/>
      <w:shd w:val="clear" w:fill="FFFFFF"/>
      <w:spacing w:lineRule="auto" w:line="240" w:before="180" w:after="180"/>
      <w:jc w:val="center"/>
    </w:pPr>
    <w:rPr>
      <w:b/>
      <w:bCs/>
      <w:sz w:val="20"/>
      <w:szCs w:val="20"/>
    </w:rPr>
  </w:style>
  <w:style w:type="paragraph" w:styleId="64">
    <w:name w:val="Основной текст (6)"/>
    <w:basedOn w:val="Normal"/>
    <w:qFormat/>
    <w:pPr>
      <w:widowControl w:val="false"/>
      <w:shd w:val="clear" w:fill="FFFFFF"/>
      <w:spacing w:lineRule="exact" w:line="272"/>
      <w:ind w:start="0" w:end="0" w:hanging="320"/>
      <w:jc w:val="both"/>
    </w:pPr>
    <w:rPr>
      <w:sz w:val="22"/>
      <w:szCs w:val="22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eastAsia="Calibri"/>
    </w:rPr>
  </w:style>
  <w:style w:type="paragraph" w:styleId="65">
    <w:name w:val="Заголовок №6"/>
    <w:basedOn w:val="Normal"/>
    <w:qFormat/>
    <w:pPr>
      <w:widowControl w:val="false"/>
      <w:numPr>
        <w:ilvl w:val="0"/>
        <w:numId w:val="0"/>
      </w:numPr>
      <w:shd w:val="clear" w:fill="FFFFFF"/>
      <w:spacing w:lineRule="exact" w:line="322" w:before="300" w:after="200"/>
      <w:ind w:start="0" w:end="0" w:hanging="120"/>
      <w:jc w:val="center"/>
      <w:outlineLvl w:val="5"/>
    </w:pPr>
    <w:rPr>
      <w:b/>
      <w:bCs/>
      <w:sz w:val="28"/>
      <w:szCs w:val="28"/>
    </w:rPr>
  </w:style>
  <w:style w:type="paragraph" w:styleId="Style61">
    <w:name w:val="Style 6"/>
    <w:basedOn w:val="Normal"/>
    <w:qFormat/>
    <w:pPr>
      <w:widowControl w:val="false"/>
      <w:shd w:val="clear" w:fill="FFFFFF"/>
      <w:spacing w:lineRule="atLeast" w:line="240" w:before="0" w:after="720"/>
      <w:ind w:start="0" w:end="0" w:hanging="700"/>
    </w:pPr>
    <w:rPr>
      <w:sz w:val="26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3">
    <w:name w:val="Основной текст (4)"/>
    <w:basedOn w:val="Normal"/>
    <w:qFormat/>
    <w:pPr>
      <w:widowControl w:val="false"/>
      <w:shd w:val="clear" w:fill="FFFFFF"/>
      <w:spacing w:lineRule="auto" w:line="240" w:before="120" w:after="300"/>
      <w:jc w:val="both"/>
    </w:pPr>
    <w:rPr>
      <w:sz w:val="28"/>
      <w:szCs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14">
    <w:name w:val="Заголовок №1"/>
    <w:basedOn w:val="Normal"/>
    <w:qFormat/>
    <w:pPr>
      <w:widowControl w:val="false"/>
      <w:numPr>
        <w:ilvl w:val="0"/>
        <w:numId w:val="0"/>
      </w:numPr>
      <w:shd w:val="clear" w:fill="FFFFFF"/>
      <w:spacing w:lineRule="atLeast" w:line="0" w:before="0" w:after="420"/>
      <w:ind w:start="0" w:end="0" w:hanging="0"/>
      <w:jc w:val="center"/>
      <w:outlineLvl w:val="0"/>
    </w:pPr>
    <w:rPr>
      <w:rFonts w:ascii="Calibri" w:hAnsi="Calibri" w:eastAsia="Calibri" w:cs="Mangal"/>
      <w:b/>
      <w:bCs/>
      <w:sz w:val="27"/>
      <w:szCs w:val="27"/>
      <w:lang w:eastAsia="en-US"/>
    </w:rPr>
  </w:style>
  <w:style w:type="numbering" w:styleId="Style22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Application>LibreOffice/7.3.0.3$Windows_X86_64 LibreOffice_project/0f246aa12d0eee4a0f7adcefbf7c878fc2238db3</Application>
  <AppVersion>15.0000</AppVersion>
  <Pages>12</Pages>
  <Words>2060</Words>
  <Characters>16157</Characters>
  <CharactersWithSpaces>18218</CharactersWithSpaces>
  <Paragraphs>225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2024-11-29T11:13:30Z</cp:lastPrinted>
  <dcterms:modified xsi:type="dcterms:W3CDTF">2025-04-15T08:53:12Z</dcterms:modified>
  <cp:revision>238</cp:revision>
  <dc:subject/>
  <dc:title>Балаклавська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