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</w:t>
      </w:r>
    </w:p>
    <w:p>
      <w:pPr>
        <w:pStyle w:val="Normal"/>
        <w:ind w:left="5760" w:hang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2924"/>
        <w:gridCol w:w="3148"/>
        <w:gridCol w:w="3173"/>
      </w:tblGrid>
      <w:tr>
        <w:trPr/>
        <w:tc>
          <w:tcPr>
            <w:tcW w:w="29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48" w:type="dxa"/>
            <w:tcBorders/>
            <w:shd w:fill="auto" w:val="clear"/>
          </w:tcPr>
          <w:p>
            <w:pPr>
              <w:pStyle w:val="Style29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zh-CN" w:bidi="ar-SA"/>
              </w:rPr>
              <w:t>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zh-CN" w:bidi="ar-SA"/>
              </w:rPr>
              <w:t>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  <w:p>
            <w:pPr>
              <w:pStyle w:val="Style29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№ </w:t>
      </w:r>
      <w:r>
        <w:rPr>
          <w:rFonts w:eastAsia="Calibri" w:cs="Book Antiqua" w:ascii="Book Antiqua" w:hAnsi="Book Antiqua"/>
          <w:b/>
          <w:bCs/>
          <w:i/>
          <w:iCs/>
          <w:color w:val="auto"/>
          <w:kern w:val="0"/>
          <w:sz w:val="40"/>
          <w:szCs w:val="40"/>
          <w:lang w:val="ru-RU" w:eastAsia="ru-RU" w:bidi="ar-SA"/>
        </w:rPr>
        <w:t>41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/1</w:t>
      </w:r>
      <w:r>
        <w:rPr>
          <w:rFonts w:eastAsia="Calibri" w:cs="Book Antiqua" w:ascii="Book Antiqua" w:hAnsi="Book Antiqua"/>
          <w:b/>
          <w:bCs/>
          <w:i/>
          <w:iCs/>
          <w:color w:val="auto"/>
          <w:kern w:val="0"/>
          <w:sz w:val="40"/>
          <w:szCs w:val="40"/>
          <w:lang w:val="ru-RU" w:eastAsia="en-US" w:bidi="ar-SA"/>
        </w:rPr>
        <w:t>5</w:t>
      </w:r>
      <w:r>
        <w:rPr>
          <w:rFonts w:eastAsia="Calibri" w:cs="Book Antiqua" w:ascii="Book Antiqua" w:hAnsi="Book Antiqua"/>
          <w:b/>
          <w:bCs/>
          <w:i/>
          <w:iCs/>
          <w:color w:val="auto"/>
          <w:kern w:val="0"/>
          <w:sz w:val="40"/>
          <w:szCs w:val="40"/>
          <w:lang w:val="ru-RU" w:eastAsia="en-US" w:bidi="ar-SA"/>
        </w:rPr>
        <w:t>5</w:t>
      </w:r>
    </w:p>
    <w:tbl>
      <w:tblPr>
        <w:tblW w:w="9329" w:type="dxa"/>
        <w:jc w:val="left"/>
        <w:tblInd w:w="24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601"/>
        <w:gridCol w:w="4727"/>
      </w:tblGrid>
      <w:tr>
        <w:trPr/>
        <w:tc>
          <w:tcPr>
            <w:tcW w:w="4601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/>
                <w:color w:val="00000A"/>
                <w:kern w:val="0"/>
                <w:sz w:val="28"/>
                <w:szCs w:val="28"/>
                <w:lang w:val="en-US" w:eastAsia="en-US" w:bidi="ar-SA"/>
              </w:rPr>
              <w:t>13.</w:t>
            </w:r>
            <w:r>
              <w:rPr>
                <w:rFonts w:eastAsia="Calibri" w:cs="Book Antiqua"/>
                <w:color w:val="00000A"/>
                <w:kern w:val="0"/>
                <w:sz w:val="28"/>
                <w:szCs w:val="28"/>
                <w:lang w:val="ru-RU" w:eastAsia="en-US" w:bidi="ar-SA"/>
              </w:rPr>
              <w:t>12.</w:t>
            </w:r>
            <w:r>
              <w:rPr>
                <w:rFonts w:eastAsia="Calibri" w:cs="Book Antiqua"/>
                <w:sz w:val="28"/>
                <w:szCs w:val="28"/>
              </w:rPr>
              <w:t>201</w:t>
            </w:r>
            <w:r>
              <w:rPr>
                <w:rFonts w:eastAsia="Calibri" w:cs="Book Antiqua"/>
                <w:sz w:val="28"/>
                <w:szCs w:val="28"/>
                <w:lang w:val="en-US"/>
              </w:rPr>
              <w:t>9</w:t>
            </w:r>
            <w:r>
              <w:rPr>
                <w:rFonts w:eastAsia="Calibri" w:cs="Book Antiqua"/>
                <w:sz w:val="28"/>
                <w:szCs w:val="28"/>
              </w:rPr>
              <w:t xml:space="preserve"> года</w:t>
            </w:r>
          </w:p>
        </w:tc>
        <w:tc>
          <w:tcPr>
            <w:tcW w:w="4727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Calibri" w:cs="Book Antiqua"/>
                <w:sz w:val="28"/>
                <w:szCs w:val="28"/>
              </w:rPr>
              <w:t>пгт. Кача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780" w:leader="none"/>
        </w:tabs>
        <w:ind w:right="-1" w:hanging="0"/>
        <w:jc w:val="center"/>
        <w:rPr/>
      </w:pPr>
      <w:r>
        <w:rPr>
          <w:b/>
          <w:i/>
          <w:iCs/>
          <w:sz w:val="28"/>
          <w:szCs w:val="28"/>
        </w:rPr>
        <w:t>О внесении изменений в решение Совета Качинского муниципального округа от 28.12.2018 № 28/110 «О бюджете внутригородского муниципального образования города Севастополя Качинский муниципальный округ на 2019 и на плановый период 2020 и 2021 годов»</w:t>
      </w:r>
    </w:p>
    <w:p>
      <w:pPr>
        <w:pStyle w:val="Normal"/>
        <w:tabs>
          <w:tab w:val="clear" w:pos="708"/>
          <w:tab w:val="left" w:pos="1637" w:leader="none"/>
        </w:tabs>
        <w:spacing w:lineRule="auto" w:line="360"/>
        <w:ind w:firstLine="709"/>
        <w:jc w:val="both"/>
        <w:rPr/>
      </w:pPr>
      <w:r>
        <w:rPr/>
      </w:r>
      <w:bookmarkStart w:id="0" w:name="_Toc164233573"/>
      <w:bookmarkStart w:id="1" w:name="_Toc164233573"/>
      <w:bookmarkEnd w:id="1"/>
    </w:p>
    <w:p>
      <w:pPr>
        <w:pStyle w:val="NoSpacing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от 30.12.2014 №102-ЗС «О местном самоуправлении в городе Севастополе», 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Севастополя», Уставом внутригородского муниципального образования, утвержденным решением Совета Качинского муниципального округа от 19.03.2015 № 13,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>
      <w:pPr>
        <w:pStyle w:val="NoSpacing"/>
        <w:ind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>
      <w:pPr>
        <w:pStyle w:val="NoSpacing"/>
        <w:ind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РЕШИЛ:</w:t>
      </w:r>
    </w:p>
    <w:p>
      <w:pPr>
        <w:pStyle w:val="Normal"/>
        <w:shd w:val="clear" w:color="auto" w:fill="FFFFFF"/>
        <w:tabs>
          <w:tab w:val="clear" w:pos="708"/>
          <w:tab w:val="left" w:pos="3780" w:leader="none"/>
        </w:tabs>
        <w:ind w:right="-1" w:firstLine="851"/>
        <w:rPr/>
      </w:pPr>
      <w:r>
        <w:rPr>
          <w:bCs/>
          <w:sz w:val="26"/>
          <w:szCs w:val="26"/>
        </w:rPr>
        <w:t>1. Внести изменения в решение Совета Качинского муниципального округа от 28.12.2018 № 28/110 «О бюджете внутригородского муниципального образования города Севастополя Качинский муниципальный округ на 2019 и на плановый период 2020 и 2021 годов» (далее – решение № 28/110):</w:t>
      </w:r>
    </w:p>
    <w:p>
      <w:pPr>
        <w:pStyle w:val="Normal"/>
        <w:shd w:val="clear" w:color="auto" w:fill="FFFFFF"/>
        <w:tabs>
          <w:tab w:val="clear" w:pos="708"/>
          <w:tab w:val="left" w:pos="3780" w:leader="none"/>
        </w:tabs>
        <w:ind w:right="-1" w:firstLine="851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 1.1. пункта 1 Изложить в редакции: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общий объем доходов бюджета </w:t>
      </w:r>
      <w:r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на 2019 год </w:t>
      </w:r>
      <w:r>
        <w:rPr>
          <w:sz w:val="26"/>
          <w:szCs w:val="26"/>
        </w:rPr>
        <w:t>в сумме 62 012,3 тыс. рублей, в том числе налоговые и неналоговые доходы – 3816,1 тыс. рублей; дотация на выравнивание бюджетной обеспеченности - 6379,4 тыс. рублей; дотация бюджетам внутригородских муниципальных образований городов федерального значения на поддержку мер по обеспечению сбалансированности бюджетов – 637,9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176,3 тыс. рублей, субвенция на исполнение отдельных государственных полномочий города Севастополя в сфере благоустройства – 51 002,6 тыс. рублей</w:t>
      </w:r>
    </w:p>
    <w:p>
      <w:pPr>
        <w:pStyle w:val="Normal"/>
        <w:shd w:val="clear" w:color="auto" w:fill="FFFFFF"/>
        <w:tabs>
          <w:tab w:val="clear" w:pos="708"/>
          <w:tab w:val="left" w:pos="3780" w:leader="none"/>
        </w:tabs>
        <w:ind w:right="-1" w:firstLine="851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bookmarkStart w:id="2" w:name="Par13"/>
      <w:bookmarkEnd w:id="2"/>
      <w:r>
        <w:rPr>
          <w:sz w:val="26"/>
          <w:szCs w:val="26"/>
        </w:rPr>
        <w:t>1.2. Приложение 1 к решению № 28/110 изложить в редакции Приложения 1 к настоящему решению;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3 к решению № 28/110 изложить в редакции Приложения 2 к настоящему решению;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993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2. Обнародовать настоящее решение на информационном стенде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ind w:firstLine="993"/>
        <w:jc w:val="both"/>
        <w:rPr>
          <w:rFonts w:ascii="Times New Roman" w:hAnsi="Times New Roman" w:eastAsia="MS Mincho"/>
          <w:sz w:val="26"/>
          <w:szCs w:val="26"/>
          <w:lang w:eastAsia="zh-CN"/>
        </w:rPr>
      </w:pPr>
      <w:r>
        <w:rPr>
          <w:rFonts w:eastAsia="MS Mincho" w:ascii="Times New Roman" w:hAnsi="Times New Roman"/>
          <w:sz w:val="26"/>
          <w:szCs w:val="26"/>
          <w:lang w:eastAsia="zh-CN"/>
        </w:rPr>
        <w:t>3.    Настоящее решение вступает в силу со дня его опубликования.</w:t>
      </w:r>
    </w:p>
    <w:p>
      <w:pPr>
        <w:pStyle w:val="NoSpacing"/>
        <w:ind w:firstLine="993"/>
        <w:jc w:val="both"/>
        <w:rPr>
          <w:rFonts w:ascii="Times New Roman" w:hAnsi="Times New Roman" w:eastAsia="MS Mincho"/>
          <w:sz w:val="26"/>
          <w:szCs w:val="26"/>
          <w:lang w:eastAsia="zh-CN"/>
        </w:rPr>
      </w:pPr>
      <w:r>
        <w:rPr>
          <w:rFonts w:eastAsia="MS Mincho" w:ascii="Times New Roman" w:hAnsi="Times New Roman"/>
          <w:sz w:val="26"/>
          <w:szCs w:val="26"/>
          <w:lang w:eastAsia="zh-CN"/>
        </w:rPr>
      </w:r>
    </w:p>
    <w:p>
      <w:pPr>
        <w:pStyle w:val="NoSpacing"/>
        <w:ind w:firstLine="993"/>
        <w:jc w:val="both"/>
        <w:rPr>
          <w:rFonts w:ascii="Times New Roman" w:hAnsi="Times New Roman" w:eastAsia="MS Mincho"/>
          <w:sz w:val="26"/>
          <w:szCs w:val="26"/>
          <w:lang w:eastAsia="zh-CN"/>
        </w:rPr>
      </w:pPr>
      <w:r>
        <w:rPr>
          <w:rFonts w:eastAsia="MS Mincho" w:ascii="Times New Roman" w:hAnsi="Times New Roman"/>
          <w:sz w:val="26"/>
          <w:szCs w:val="26"/>
          <w:lang w:eastAsia="zh-CN"/>
        </w:rPr>
        <w:t>4. Контроль за исполнением настоящего решения возложить на председателя Совета Качинского муниципального округа Герасим Н.М.</w:t>
      </w:r>
    </w:p>
    <w:p>
      <w:pPr>
        <w:pStyle w:val="NoSpacing"/>
        <w:jc w:val="both"/>
        <w:rPr>
          <w:rFonts w:ascii="Times New Roman" w:hAnsi="Times New Roman" w:eastAsia="MS Mincho"/>
          <w:sz w:val="26"/>
          <w:szCs w:val="26"/>
          <w:lang w:eastAsia="zh-CN"/>
        </w:rPr>
      </w:pPr>
      <w:r>
        <w:rPr>
          <w:rFonts w:eastAsia="MS Mincho" w:ascii="Times New Roman" w:hAnsi="Times New Roman"/>
          <w:sz w:val="26"/>
          <w:szCs w:val="26"/>
          <w:lang w:eastAsia="zh-CN"/>
        </w:rPr>
        <w:tab/>
      </w:r>
    </w:p>
    <w:p>
      <w:pPr>
        <w:pStyle w:val="NoSpacing"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eastAsia="MS Mincho" w:ascii="Times New Roman" w:hAnsi="Times New Roman"/>
          <w:sz w:val="26"/>
          <w:szCs w:val="26"/>
        </w:rPr>
      </w:r>
    </w:p>
    <w:tbl>
      <w:tblPr>
        <w:tblW w:w="9804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494"/>
        <w:gridCol w:w="2409"/>
        <w:gridCol w:w="1901"/>
      </w:tblGrid>
      <w:tr>
        <w:trPr/>
        <w:tc>
          <w:tcPr>
            <w:tcW w:w="549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color w:val="000000"/>
                <w:sz w:val="26"/>
                <w:szCs w:val="26"/>
              </w:rPr>
            </w:r>
          </w:p>
        </w:tc>
        <w:tc>
          <w:tcPr>
            <w:tcW w:w="19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tbl>
      <w:tblPr>
        <w:tblW w:w="11334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4706"/>
        <w:gridCol w:w="1"/>
        <w:gridCol w:w="3510"/>
      </w:tblGrid>
      <w:tr>
        <w:trPr>
          <w:trHeight w:val="300" w:hRule="atLeast"/>
        </w:trPr>
        <w:tc>
          <w:tcPr>
            <w:tcW w:w="31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7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351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Приложение 1</w:t>
            </w:r>
          </w:p>
        </w:tc>
      </w:tr>
      <w:tr>
        <w:trPr>
          <w:trHeight w:val="1875" w:hRule="atLeast"/>
        </w:trPr>
        <w:tc>
          <w:tcPr>
            <w:tcW w:w="31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</w:r>
          </w:p>
        </w:tc>
        <w:tc>
          <w:tcPr>
            <w:tcW w:w="470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3511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решения Совета Качинского муниципального округа от 28 декабря 2018 года № 28/110 "О бюджете внутригородского муниципального образования города Севастополя Качинский муниципальный округ на 2019 год и плановый период 2020 и 2021 годов ".</w:t>
            </w:r>
          </w:p>
        </w:tc>
      </w:tr>
      <w:tr>
        <w:trPr>
          <w:trHeight w:val="1305" w:hRule="atLeast"/>
        </w:trPr>
        <w:tc>
          <w:tcPr>
            <w:tcW w:w="11334" w:type="dxa"/>
            <w:gridSpan w:val="4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Доходы бюджета внутригородского муниципального образования города Севастополя Качинский муниципальный округ на 2019 год</w:t>
            </w:r>
          </w:p>
        </w:tc>
      </w:tr>
      <w:tr>
        <w:trPr>
          <w:trHeight w:val="945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06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351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  2019 год</w:t>
              <w:br/>
              <w:t>(тыс.руб.)</w:t>
            </w:r>
          </w:p>
        </w:tc>
      </w:tr>
      <w:tr>
        <w:trPr>
          <w:trHeight w:val="300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3 816.1</w:t>
            </w:r>
          </w:p>
        </w:tc>
      </w:tr>
      <w:tr>
        <w:trPr>
          <w:trHeight w:val="330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531.0</w:t>
            </w:r>
          </w:p>
        </w:tc>
      </w:tr>
      <w:tr>
        <w:trPr>
          <w:trHeight w:val="720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531.0</w:t>
            </w:r>
          </w:p>
        </w:tc>
      </w:tr>
      <w:tr>
        <w:trPr>
          <w:trHeight w:val="1821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47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526.0</w:t>
            </w:r>
          </w:p>
        </w:tc>
      </w:tr>
      <w:tr>
        <w:trPr>
          <w:trHeight w:val="2319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7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>
        <w:trPr>
          <w:trHeight w:val="1261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47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3.0</w:t>
            </w:r>
          </w:p>
        </w:tc>
      </w:tr>
      <w:tr>
        <w:trPr>
          <w:trHeight w:val="1974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182 1 01 02040 01 0000 110</w:t>
            </w:r>
          </w:p>
        </w:tc>
        <w:tc>
          <w:tcPr>
            <w:tcW w:w="47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иностаррными гражданами, осуществляющими трудовую деятельность по найму на основании патента в соответствии со статьей 227.1 Налгового кодекса российской Федерации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1.0</w:t>
            </w:r>
          </w:p>
        </w:tc>
      </w:tr>
      <w:tr>
        <w:trPr>
          <w:trHeight w:val="315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3 285.1</w:t>
            </w:r>
          </w:p>
        </w:tc>
      </w:tr>
      <w:tr>
        <w:trPr>
          <w:trHeight w:val="1200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3 285.1</w:t>
            </w:r>
          </w:p>
        </w:tc>
      </w:tr>
      <w:tr>
        <w:trPr>
          <w:trHeight w:val="315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58 196.2</w:t>
            </w:r>
          </w:p>
        </w:tc>
      </w:tr>
      <w:tr>
        <w:trPr>
          <w:trHeight w:val="855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58 196.2</w:t>
            </w:r>
          </w:p>
        </w:tc>
      </w:tr>
      <w:tr>
        <w:trPr>
          <w:trHeight w:val="690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950 2 02 1000 00 0000 150</w:t>
            </w:r>
          </w:p>
        </w:tc>
        <w:tc>
          <w:tcPr>
            <w:tcW w:w="470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7017.3</w:t>
            </w:r>
          </w:p>
        </w:tc>
      </w:tr>
      <w:tr>
        <w:trPr>
          <w:trHeight w:val="1200" w:hRule="atLeast"/>
        </w:trPr>
        <w:tc>
          <w:tcPr>
            <w:tcW w:w="3117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950 2 02 15001 03 0000 150</w:t>
            </w:r>
          </w:p>
        </w:tc>
        <w:tc>
          <w:tcPr>
            <w:tcW w:w="470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6379.4</w:t>
            </w:r>
          </w:p>
        </w:tc>
      </w:tr>
      <w:tr>
        <w:trPr>
          <w:trHeight w:val="1500" w:hRule="atLeast"/>
        </w:trPr>
        <w:tc>
          <w:tcPr>
            <w:tcW w:w="3117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950 2 02 15002 03 0000 150</w:t>
            </w:r>
          </w:p>
        </w:tc>
        <w:tc>
          <w:tcPr>
            <w:tcW w:w="470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637.9</w:t>
            </w:r>
          </w:p>
        </w:tc>
      </w:tr>
      <w:tr>
        <w:trPr>
          <w:trHeight w:val="1185" w:hRule="atLeast"/>
        </w:trPr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950 2 02 30000 00 0000 150</w:t>
            </w:r>
          </w:p>
        </w:tc>
        <w:tc>
          <w:tcPr>
            <w:tcW w:w="4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51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51178.9</w:t>
            </w:r>
          </w:p>
        </w:tc>
      </w:tr>
      <w:tr>
        <w:trPr>
          <w:trHeight w:val="1185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950 2 02 30024 00 0000 150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11" w:type="dxa"/>
            <w:gridSpan w:val="2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51178.9</w:t>
            </w:r>
          </w:p>
        </w:tc>
      </w:tr>
      <w:tr>
        <w:trPr>
          <w:trHeight w:val="1860" w:hRule="atLeast"/>
        </w:trPr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950 2 02 30024 03 0000 150</w:t>
            </w:r>
          </w:p>
        </w:tc>
        <w:tc>
          <w:tcPr>
            <w:tcW w:w="4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51178.9</w:t>
            </w:r>
          </w:p>
        </w:tc>
      </w:tr>
      <w:tr>
        <w:trPr>
          <w:trHeight w:val="390" w:hRule="atLeast"/>
        </w:trPr>
        <w:tc>
          <w:tcPr>
            <w:tcW w:w="78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62 012.3</w:t>
            </w:r>
          </w:p>
        </w:tc>
      </w:tr>
      <w:tr>
        <w:trPr>
          <w:trHeight w:val="600" w:hRule="exact"/>
        </w:trPr>
        <w:tc>
          <w:tcPr>
            <w:tcW w:w="3117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217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525" w:hRule="exact"/>
        </w:trPr>
        <w:tc>
          <w:tcPr>
            <w:tcW w:w="3117" w:type="dxa"/>
            <w:tcBorders/>
            <w:shd w:color="auto" w:fill="auto" w:val="clear"/>
            <w:vAlign w:val="bottom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706" w:type="dxa"/>
            <w:tcBorders/>
            <w:shd w:color="auto" w:fill="auto" w:val="clea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3511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1200" w:hRule="atLeast"/>
        </w:trPr>
        <w:tc>
          <w:tcPr>
            <w:tcW w:w="78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Глава ВМО Качинского МО, исполняющий </w:t>
              <w:br/>
              <w:t xml:space="preserve">полномочия председателя Совета, </w:t>
              <w:br/>
              <w:t>Глава местной администрации</w:t>
            </w:r>
          </w:p>
        </w:tc>
        <w:tc>
          <w:tcPr>
            <w:tcW w:w="351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Н.М. Герасим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567" w:header="709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Web"/>
        <w:spacing w:beforeAutospacing="0" w:before="0" w:afterAutospacing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4820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firstLine="4820"/>
        <w:outlineLvl w:val="0"/>
        <w:rPr>
          <w:color w:val="000000"/>
          <w:sz w:val="20"/>
          <w:szCs w:val="20"/>
        </w:rPr>
      </w:pPr>
      <w:bookmarkStart w:id="3" w:name="_GoBack"/>
      <w:bookmarkEnd w:id="3"/>
      <w:r>
        <w:rPr>
          <w:color w:val="000000"/>
          <w:sz w:val="20"/>
          <w:szCs w:val="20"/>
        </w:rPr>
        <w:t>Приложение 2</w:t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ind w:left="4820" w:hanging="0"/>
        <w:outlineLvl w:val="0"/>
        <w:rPr/>
      </w:pPr>
      <w:r>
        <w:rPr>
          <w:color w:val="000000"/>
          <w:sz w:val="20"/>
          <w:szCs w:val="20"/>
        </w:rPr>
        <w:t>к  решения Совета Качинского муниципального округа от 28 декабря 2018 года № 28/110 «О бюджете внутригородского муниципального образования города Севастополя Качинский муниципальный округ на 2019 год и плановый период 2020 и 2021 годов «.</w:t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szCs w:val="28"/>
        </w:rPr>
      </w:pPr>
      <w:r>
        <w:rPr>
          <w:b/>
          <w:szCs w:val="28"/>
        </w:rPr>
        <w:t>Перечень главных администраторов доходов внутригородского муниципального образования города Севастополя Качинский муниципальный округ на 2019 год и на плановый период 2020 и 2021 годов</w:t>
      </w:r>
    </w:p>
    <w:tbl>
      <w:tblPr>
        <w:tblW w:w="11011" w:type="dxa"/>
        <w:jc w:val="left"/>
        <w:tblInd w:w="-639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3"/>
        <w:gridCol w:w="1145"/>
        <w:gridCol w:w="2551"/>
        <w:gridCol w:w="1"/>
        <w:gridCol w:w="6098"/>
        <w:gridCol w:w="422"/>
        <w:gridCol w:w="2"/>
        <w:gridCol w:w="1"/>
        <w:gridCol w:w="237"/>
      </w:tblGrid>
      <w:tr>
        <w:trPr>
          <w:tblHeader w:val="true"/>
          <w:trHeight w:val="480" w:hRule="atLeast"/>
          <w:cantSplit w:val="true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5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3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480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right="-7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доходов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6521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7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182</w:t>
            </w:r>
          </w:p>
        </w:tc>
        <w:tc>
          <w:tcPr>
            <w:tcW w:w="907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Федеральная налоговая служба</w:t>
            </w:r>
          </w:p>
        </w:tc>
        <w:tc>
          <w:tcPr>
            <w:tcW w:w="23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szCs w:val="28"/>
              </w:rPr>
              <w:t>1 01 02010 01 0000 110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1 01 0202 01 0000 110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1 01 02030 01 0000 110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1 01 02040 01 0000 110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1 05 04030 02 0000 110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3" w:hRule="atLeast"/>
          <w:cantSplit w:val="true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70" w:hanging="0"/>
              <w:jc w:val="center"/>
              <w:rPr>
                <w:b/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950</w:t>
            </w:r>
          </w:p>
        </w:tc>
        <w:tc>
          <w:tcPr>
            <w:tcW w:w="907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23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1 11 09043 03 0000120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1 13 01993 03 0000130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1 13 02063 03 0000130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1 13 02993 03 0000130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1 16 18030 03 0000140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 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1 16 21030 03 0000140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1 16 23030 03 0000140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1 16 23031 03 0000140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1 16 23032 03 0000140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1 16 32000 03 0000140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значения)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1 16 33030 03 0000140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1 16 90030 03 0000140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1 17 01030 03 0000180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1 17 05030 03 0000180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2 01 03010 03 0000150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2 01 03020 03 0000150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2 01 03099 03 0000150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2 02 15001 03 0000 150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2 02 15002 03 0000 150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2 02 29998 03 0000 150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2 02 30024 03 0000 150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2 02 49999 03 0000 150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2 03 03010 03 0000 150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гарантов для получателей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2 04 03010 03 0000 150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2 04 03020 03 0000 150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2 04 03099 03 0000 150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2 07 03000 03 0000 150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2 07 03010 03 0000 150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2 07 03020 03 0000 150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2 08 03000 03 0000 150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  <w:tc>
          <w:tcPr>
            <w:tcW w:w="240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425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37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5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9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ВМО Качинского МО, исполняющий </w:t>
            </w:r>
          </w:p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Глава местной администрации                                                                   Н.М. Герасим</w:t>
            </w:r>
          </w:p>
        </w:tc>
        <w:tc>
          <w:tcPr>
            <w:tcW w:w="425" w:type="dxa"/>
            <w:gridSpan w:val="3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37" w:type="dxa"/>
            <w:tcBorders/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ConsTitle"/>
        <w:widowControl/>
        <w:ind w:right="0" w:hanging="0"/>
        <w:jc w:val="center"/>
        <w:rPr>
          <w:sz w:val="14"/>
        </w:rPr>
      </w:pPr>
      <w:r>
        <w:rPr>
          <w:sz w:val="14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748" w:header="709" w:top="766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242.9pt;margin-top:0.05pt;width:1.1pt;height:13.6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Style w:val="Pagenumber"/>
      </w:rPr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2.9pt;margin-top:0.05pt;width:1.1pt;height:13.65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4146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d119b"/>
    <w:pPr>
      <w:keepNext w:val="true"/>
      <w:numPr>
        <w:ilvl w:val="0"/>
        <w:numId w:val="1"/>
      </w:numPr>
      <w:spacing w:lineRule="auto" w:line="360" w:before="240" w:after="240"/>
      <w:outlineLvl w:val="0"/>
    </w:pPr>
    <w:rPr>
      <w:rFonts w:eastAsia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7f4146"/>
    <w:rPr>
      <w:rFonts w:eastAsia="MS Mincho"/>
      <w:b/>
      <w:bCs/>
      <w:sz w:val="28"/>
      <w:szCs w:val="28"/>
      <w:lang w:val="x-none" w:eastAsia="ru-RU" w:bidi="ar-SA"/>
    </w:rPr>
  </w:style>
  <w:style w:type="character" w:styleId="Strong">
    <w:name w:val="Strong"/>
    <w:basedOn w:val="DefaultParagraphFont"/>
    <w:qFormat/>
    <w:rsid w:val="00842150"/>
    <w:rPr>
      <w:b/>
      <w:bCs/>
    </w:rPr>
  </w:style>
  <w:style w:type="character" w:styleId="Pagenumber">
    <w:name w:val="page number"/>
    <w:basedOn w:val="DefaultParagraphFont"/>
    <w:qFormat/>
    <w:rsid w:val="00be2e21"/>
    <w:rPr/>
  </w:style>
  <w:style w:type="character" w:styleId="Blk" w:customStyle="1">
    <w:name w:val="blk"/>
    <w:basedOn w:val="DefaultParagraphFont"/>
    <w:qFormat/>
    <w:rsid w:val="004523cc"/>
    <w:rPr/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2b1419"/>
    <w:rPr>
      <w:rFonts w:ascii="Segoe UI" w:hAnsi="Segoe UI" w:eastAsia="MS Mincho" w:cs="Segoe UI"/>
      <w:sz w:val="18"/>
      <w:szCs w:val="18"/>
    </w:rPr>
  </w:style>
  <w:style w:type="character" w:styleId="Style15" w:customStyle="1">
    <w:name w:val="Без интервала Знак"/>
    <w:link w:val="ad"/>
    <w:uiPriority w:val="99"/>
    <w:qFormat/>
    <w:rsid w:val="006573be"/>
    <w:rPr>
      <w:rFonts w:ascii="Calibri" w:hAnsi="Calibri" w:eastAsia="Times New Roman"/>
      <w:sz w:val="22"/>
      <w:szCs w:val="22"/>
    </w:rPr>
  </w:style>
  <w:style w:type="character" w:styleId="Style16" w:customStyle="1">
    <w:name w:val="Нижний колонтитул Знак"/>
    <w:basedOn w:val="DefaultParagraphFont"/>
    <w:link w:val="af"/>
    <w:uiPriority w:val="99"/>
    <w:qFormat/>
    <w:rsid w:val="006573be"/>
    <w:rPr>
      <w:rFonts w:eastAsia="MS Mincho"/>
      <w:sz w:val="24"/>
      <w:szCs w:val="24"/>
    </w:rPr>
  </w:style>
  <w:style w:type="character" w:styleId="Style17" w:customStyle="1">
    <w:name w:val="Верхний колонтитул Знак"/>
    <w:basedOn w:val="DefaultParagraphFont"/>
    <w:link w:val="a8"/>
    <w:uiPriority w:val="99"/>
    <w:qFormat/>
    <w:rsid w:val="004e33f1"/>
    <w:rPr>
      <w:rFonts w:eastAsia="MS Mincho"/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d119b"/>
    <w:rPr>
      <w:rFonts w:eastAsia="Times New Roman"/>
      <w:b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нак Знак1 Знак Знак Знак Знак Знак Знак Знак Знак Знак Знак Знак Знак"/>
    <w:basedOn w:val="Normal"/>
    <w:qFormat/>
    <w:rsid w:val="00786d7e"/>
    <w:pPr/>
    <w:rPr>
      <w:rFonts w:ascii="Verdana" w:hAnsi="Verdana" w:eastAsia="Times New Roman" w:cs="Verdana"/>
      <w:sz w:val="20"/>
      <w:szCs w:val="20"/>
      <w:lang w:val="uk-UA" w:eastAsia="en-US"/>
    </w:rPr>
  </w:style>
  <w:style w:type="paragraph" w:styleId="NormalWeb">
    <w:name w:val="Normal (Web)"/>
    <w:basedOn w:val="Normal"/>
    <w:qFormat/>
    <w:rsid w:val="00842150"/>
    <w:pPr>
      <w:spacing w:beforeAutospacing="1" w:afterAutospacing="1"/>
    </w:pPr>
    <w:rPr>
      <w:rFonts w:eastAsia="SimSun"/>
      <w:lang w:eastAsia="zh-CN"/>
    </w:rPr>
  </w:style>
  <w:style w:type="paragraph" w:styleId="A" w:customStyle="1">
    <w:name w:val="a"/>
    <w:basedOn w:val="Normal"/>
    <w:qFormat/>
    <w:rsid w:val="00ba0790"/>
    <w:pPr>
      <w:spacing w:beforeAutospacing="1" w:afterAutospacing="1"/>
    </w:pPr>
    <w:rPr>
      <w:rFonts w:eastAsia="SimSun"/>
      <w:lang w:eastAsia="zh-C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rsid w:val="00be2e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3" w:customStyle="1">
    <w:name w:val="Знак Знак1 Знак Знак Знак Знак Знак Знак Знак Знак Знак Знак Знак Знак Знак Знак Знак"/>
    <w:basedOn w:val="Normal"/>
    <w:qFormat/>
    <w:rsid w:val="003e5213"/>
    <w:pPr/>
    <w:rPr>
      <w:rFonts w:ascii="Verdana" w:hAnsi="Verdana" w:eastAsia="Times New Roman" w:cs="Verdana"/>
      <w:sz w:val="20"/>
      <w:szCs w:val="20"/>
      <w:lang w:val="uk-UA" w:eastAsia="en-US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2b1419"/>
    <w:pPr/>
    <w:rPr>
      <w:rFonts w:ascii="Segoe UI" w:hAnsi="Segoe UI" w:cs="Segoe UI"/>
      <w:sz w:val="18"/>
      <w:szCs w:val="18"/>
    </w:rPr>
  </w:style>
  <w:style w:type="paragraph" w:styleId="NoSpacing">
    <w:name w:val="No Spacing"/>
    <w:link w:val="ae"/>
    <w:uiPriority w:val="99"/>
    <w:qFormat/>
    <w:rsid w:val="006573b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5">
    <w:name w:val="Footer"/>
    <w:basedOn w:val="Normal"/>
    <w:link w:val="af0"/>
    <w:unhideWhenUsed/>
    <w:rsid w:val="006573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3562b"/>
    <w:pPr>
      <w:spacing w:before="0" w:after="0"/>
      <w:ind w:left="720" w:hanging="0"/>
      <w:contextualSpacing/>
    </w:pPr>
    <w:rPr/>
  </w:style>
  <w:style w:type="paragraph" w:styleId="ConsTitle" w:customStyle="1">
    <w:name w:val="ConsTitle"/>
    <w:qFormat/>
    <w:rsid w:val="00387127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4980-144D-4252-B0D3-D7D53D7F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LibreOffice/6.3.1.2$Windows_x86 LibreOffice_project/b79626edf0065ac373bd1df5c28bd630b4424273</Application>
  <Pages>7</Pages>
  <Words>1834</Words>
  <Characters>12616</Characters>
  <CharactersWithSpaces>14432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2017-11-28T13:03:00Z</dcterms:created>
  <dc:creator>Петрій</dc:creator>
  <dc:description/>
  <dc:language>ru-RU</dc:language>
  <cp:lastModifiedBy/>
  <cp:lastPrinted>2019-12-16T15:08:40Z</cp:lastPrinted>
  <dcterms:modified xsi:type="dcterms:W3CDTF">2019-12-16T15:10:01Z</dcterms:modified>
  <cp:revision>40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