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252C04">
        <w:rPr>
          <w:rFonts w:ascii="Book Antiqua" w:hAnsi="Book Antiqua"/>
          <w:b/>
          <w:i/>
          <w:sz w:val="40"/>
          <w:szCs w:val="40"/>
        </w:rPr>
        <w:t>16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A72519" w:rsidP="00A725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  <w:r w:rsidR="00797C12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февраля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252C04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24.11.2016 № </w:t>
            </w:r>
            <w:r w:rsidR="00252C04">
              <w:rPr>
                <w:rFonts w:ascii="Book Antiqua" w:hAnsi="Book Antiqua"/>
                <w:b/>
                <w:sz w:val="24"/>
                <w:szCs w:val="24"/>
              </w:rPr>
              <w:t>56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252C04" w:rsidRPr="005865AE">
              <w:rPr>
                <w:rFonts w:ascii="Book Antiqua" w:hAnsi="Book Antiqua"/>
                <w:b/>
                <w:sz w:val="24"/>
                <w:szCs w:val="24"/>
              </w:rPr>
      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277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</w:t>
      </w:r>
      <w:r w:rsidR="00A0277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ь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ю уточнения объёма финансирования</w:t>
      </w:r>
      <w:r w:rsidR="00A7251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 год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мероприятий 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252C04" w:rsidRPr="00252C0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решением Совета Качинского муниципального округа 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от 29.12.2016 № 5/30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«О бюджете внутригородского муниципального образования города Севастополя</w:t>
      </w:r>
      <w:proofErr w:type="gramEnd"/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 муниципальный округ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2017г.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D5072B" w:rsidRP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20.12.2016г. № 71-МА «О внесении изменений в Постановление местной администрации Качинского муниципального округа от 23.11.2016г. № 53-МА «Об утверждении Перечня муниципальных программ внутригородского муниципального образования города Севастополя Качинский муниципальный округ на 2017 год»»,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</w:t>
      </w:r>
      <w:proofErr w:type="gramEnd"/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D5072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 xml:space="preserve"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образования города Севастополя  Качинского муниципального округа на 2016-2018 года</w:t>
      </w:r>
      <w:r w:rsidR="00E10796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2519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1.1. </w:t>
      </w:r>
      <w:r w:rsidR="00A72519">
        <w:rPr>
          <w:rFonts w:ascii="Book Antiqua" w:hAnsi="Book Antiqua"/>
          <w:color w:val="000000"/>
          <w:sz w:val="24"/>
          <w:szCs w:val="24"/>
          <w:lang w:bidi="ru-RU"/>
        </w:rPr>
        <w:t>Пункт 3 Постановления изложить в следующей редакции:</w:t>
      </w:r>
    </w:p>
    <w:p w:rsidR="00A72519" w:rsidRDefault="006A1ABB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«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 вступает в силу после его официального опубликования и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2016 года».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1.2.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годы»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252C04" w:rsidRDefault="00252C04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ПАСПОРТ</w:t>
      </w:r>
    </w:p>
    <w:p w:rsidR="009E0299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="00252C04" w:rsidRPr="004D182E">
        <w:rPr>
          <w:rFonts w:ascii="Book Antiqua" w:hAnsi="Book Antiqua"/>
          <w:b/>
          <w:sz w:val="28"/>
          <w:szCs w:val="28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на 201</w:t>
      </w:r>
      <w:r>
        <w:rPr>
          <w:rFonts w:ascii="Book Antiqua" w:hAnsi="Book Antiqua"/>
          <w:b/>
          <w:sz w:val="28"/>
          <w:szCs w:val="28"/>
        </w:rPr>
        <w:t>6</w:t>
      </w:r>
      <w:r w:rsidRPr="00124D75">
        <w:rPr>
          <w:rFonts w:ascii="Book Antiqua" w:hAnsi="Book Antiqua"/>
          <w:b/>
          <w:sz w:val="28"/>
          <w:szCs w:val="28"/>
        </w:rPr>
        <w:t>-201</w:t>
      </w:r>
      <w:r>
        <w:rPr>
          <w:rFonts w:ascii="Book Antiqua" w:hAnsi="Book Antiqua"/>
          <w:b/>
          <w:sz w:val="28"/>
          <w:szCs w:val="28"/>
        </w:rPr>
        <w:t>8</w:t>
      </w:r>
      <w:r w:rsidRPr="00124D75">
        <w:rPr>
          <w:rFonts w:ascii="Book Antiqua" w:hAnsi="Book Antiqua"/>
          <w:b/>
          <w:sz w:val="28"/>
          <w:szCs w:val="28"/>
        </w:rPr>
        <w:t xml:space="preserve"> годы</w:t>
      </w:r>
      <w:r>
        <w:rPr>
          <w:rFonts w:ascii="Book Antiqua" w:hAnsi="Book Antiqua"/>
          <w:b/>
          <w:sz w:val="28"/>
          <w:szCs w:val="28"/>
        </w:rPr>
        <w:t>»</w:t>
      </w:r>
    </w:p>
    <w:p w:rsidR="00252C04" w:rsidRPr="004D182E" w:rsidRDefault="00252C04" w:rsidP="00252C04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52C04" w:rsidRPr="00A60605" w:rsidTr="00E41A19">
        <w:trPr>
          <w:trHeight w:val="400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252C04" w:rsidRPr="00A60605" w:rsidTr="00E41A19">
        <w:trPr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252C04" w:rsidRPr="00A60605" w:rsidRDefault="00252C04" w:rsidP="00E41A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252C04" w:rsidRPr="00A60605" w:rsidTr="00E41A19">
        <w:trPr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Участие в профилактике терроризма и экстремизма, 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а также в минимизации и ликвидации последствий  проявления терроризма и экстремизма на территории муниципального образования города Севастополя Качинский муниципальный округ</w:t>
            </w:r>
          </w:p>
        </w:tc>
      </w:tr>
      <w:tr w:rsidR="00252C04" w:rsidRPr="00A60605" w:rsidTr="00E41A19">
        <w:trPr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</w:r>
          </w:p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-Деятельность по минимизации и ликвидации последствий проявлений терроризма и экстремизма;</w:t>
            </w:r>
          </w:p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  <w:bCs/>
              </w:rPr>
              <w:t>-Деятельность по гармонизации межэтнических и межкультурных отношений, профилактике проявления ксенофобии, укрепления толерантности на территории ВМО Качинский МО.</w:t>
            </w:r>
          </w:p>
        </w:tc>
      </w:tr>
      <w:tr w:rsidR="00252C04" w:rsidRPr="00A60605" w:rsidTr="00E41A19">
        <w:trPr>
          <w:trHeight w:val="400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252C04" w:rsidRPr="00A60605" w:rsidTr="00E41A19">
        <w:trPr>
          <w:trHeight w:val="1715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lastRenderedPageBreak/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A60605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A60605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2016 год –  250,0 </w:t>
            </w:r>
            <w:proofErr w:type="spellStart"/>
            <w:r w:rsidRPr="00A60605">
              <w:rPr>
                <w:rFonts w:ascii="Book Antiqua" w:hAnsi="Book Antiqua"/>
              </w:rPr>
              <w:t>тыс</w:t>
            </w:r>
            <w:proofErr w:type="gramStart"/>
            <w:r w:rsidRPr="00A60605">
              <w:rPr>
                <w:rFonts w:ascii="Book Antiqua" w:hAnsi="Book Antiqua"/>
              </w:rPr>
              <w:t>.р</w:t>
            </w:r>
            <w:proofErr w:type="gramEnd"/>
            <w:r w:rsidRPr="00A60605">
              <w:rPr>
                <w:rFonts w:ascii="Book Antiqua" w:hAnsi="Book Antiqua"/>
              </w:rPr>
              <w:t>уб</w:t>
            </w:r>
            <w:proofErr w:type="spellEnd"/>
            <w:r w:rsidRPr="00A60605">
              <w:rPr>
                <w:rFonts w:ascii="Book Antiqua" w:hAnsi="Book Antiqua"/>
              </w:rPr>
              <w:t>.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2017 год –  230,0 </w:t>
            </w:r>
            <w:proofErr w:type="spellStart"/>
            <w:r w:rsidRPr="00A60605">
              <w:rPr>
                <w:rFonts w:ascii="Book Antiqua" w:hAnsi="Book Antiqua"/>
              </w:rPr>
              <w:t>тыс</w:t>
            </w:r>
            <w:proofErr w:type="gramStart"/>
            <w:r w:rsidRPr="00A60605">
              <w:rPr>
                <w:rFonts w:ascii="Book Antiqua" w:hAnsi="Book Antiqua"/>
              </w:rPr>
              <w:t>.р</w:t>
            </w:r>
            <w:proofErr w:type="gramEnd"/>
            <w:r w:rsidRPr="00A60605">
              <w:rPr>
                <w:rFonts w:ascii="Book Antiqua" w:hAnsi="Book Antiqua"/>
              </w:rPr>
              <w:t>уб</w:t>
            </w:r>
            <w:proofErr w:type="spellEnd"/>
            <w:r w:rsidRPr="00A60605">
              <w:rPr>
                <w:rFonts w:ascii="Book Antiqua" w:hAnsi="Book Antiqua"/>
              </w:rPr>
              <w:t>.</w:t>
            </w:r>
          </w:p>
          <w:p w:rsidR="00252C04" w:rsidRPr="00A60605" w:rsidRDefault="00252C04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2018 год –  109,3 </w:t>
            </w:r>
            <w:proofErr w:type="spellStart"/>
            <w:r w:rsidRPr="00A60605">
              <w:rPr>
                <w:rFonts w:ascii="Book Antiqua" w:hAnsi="Book Antiqua"/>
              </w:rPr>
              <w:t>тыс</w:t>
            </w:r>
            <w:proofErr w:type="gramStart"/>
            <w:r w:rsidRPr="00A60605">
              <w:rPr>
                <w:rFonts w:ascii="Book Antiqua" w:hAnsi="Book Antiqua"/>
              </w:rPr>
              <w:t>.р</w:t>
            </w:r>
            <w:proofErr w:type="gramEnd"/>
            <w:r w:rsidRPr="00A60605">
              <w:rPr>
                <w:rFonts w:ascii="Book Antiqua" w:hAnsi="Book Antiqua"/>
              </w:rPr>
              <w:t>уб</w:t>
            </w:r>
            <w:proofErr w:type="spellEnd"/>
            <w:r w:rsidRPr="00A60605">
              <w:rPr>
                <w:rFonts w:ascii="Book Antiqua" w:hAnsi="Book Antiqua"/>
              </w:rPr>
              <w:t>.</w:t>
            </w:r>
          </w:p>
        </w:tc>
      </w:tr>
      <w:tr w:rsidR="00252C04" w:rsidRPr="00A60605" w:rsidTr="00E41A19">
        <w:trPr>
          <w:trHeight w:val="709"/>
          <w:tblCellSpacing w:w="5" w:type="nil"/>
        </w:trPr>
        <w:tc>
          <w:tcPr>
            <w:tcW w:w="3403" w:type="dxa"/>
          </w:tcPr>
          <w:p w:rsidR="00252C04" w:rsidRPr="00A60605" w:rsidRDefault="00252C04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A60605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252C04" w:rsidRPr="00A60605" w:rsidRDefault="00252C04" w:rsidP="00E41A19">
            <w:pPr>
              <w:shd w:val="clear" w:color="auto" w:fill="FFFFFF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 xml:space="preserve">-Повышение готовности ВМО Качинский МО противодействию терроризму на территории муниципального округа; </w:t>
            </w:r>
          </w:p>
          <w:p w:rsidR="00252C04" w:rsidRPr="00A60605" w:rsidRDefault="00252C04" w:rsidP="00E41A19">
            <w:pPr>
              <w:shd w:val="clear" w:color="auto" w:fill="FFFFFF"/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-Повышение уровня подготовки населения к защите и действиям в условиях угроз и проявлений террористической и экстремистской направленности;</w:t>
            </w:r>
          </w:p>
          <w:p w:rsidR="00252C04" w:rsidRPr="00A60605" w:rsidRDefault="00252C04" w:rsidP="00E41A19">
            <w:pPr>
              <w:rPr>
                <w:rFonts w:ascii="Book Antiqua" w:hAnsi="Book Antiqua"/>
              </w:rPr>
            </w:pPr>
            <w:r w:rsidRPr="00A60605">
              <w:rPr>
                <w:rFonts w:ascii="Book Antiqua" w:hAnsi="Book Antiqua"/>
              </w:rPr>
              <w:t>-Укрепление толерантности среди населения ВМО Качинский МО.</w:t>
            </w:r>
          </w:p>
        </w:tc>
      </w:tr>
    </w:tbl>
    <w:p w:rsidR="00252C04" w:rsidRPr="002329A8" w:rsidRDefault="00252C04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F323D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F323D">
        <w:rPr>
          <w:rFonts w:ascii="Book Antiqua" w:hAnsi="Book Antiqua"/>
          <w:color w:val="000000"/>
          <w:sz w:val="24"/>
          <w:szCs w:val="24"/>
          <w:lang w:bidi="ru-RU"/>
        </w:rPr>
        <w:t xml:space="preserve">Приложение 2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252C04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>
        <w:rPr>
          <w:rFonts w:ascii="Book Antiqua" w:hAnsi="Book Antiqua"/>
          <w:color w:val="000000"/>
          <w:sz w:val="24"/>
          <w:szCs w:val="24"/>
          <w:lang w:bidi="ru-RU"/>
        </w:rPr>
        <w:t>-МА  изложить в редакции ПРИЛОЖЕНИЯ к настоящему постановлению.</w:t>
      </w:r>
      <w:proofErr w:type="gramEnd"/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E75AB4" w:rsidRPr="002F02DC" w:rsidRDefault="00E75AB4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E75AB4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01.02.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16-МА</w:t>
      </w:r>
    </w:p>
    <w:p w:rsidR="00E75AB4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E75AB4" w:rsidRPr="00124D75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Приложение 2 </w:t>
      </w:r>
    </w:p>
    <w:p w:rsidR="00E75AB4" w:rsidRPr="00124D75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4D182E">
        <w:rPr>
          <w:rFonts w:ascii="Book Antiqua" w:hAnsi="Book Antiqua" w:cs="Arial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Pr="000833E6">
        <w:rPr>
          <w:rFonts w:ascii="Book Antiqua" w:hAnsi="Book Antiqua"/>
          <w:color w:val="000000"/>
        </w:rPr>
        <w:t>»</w:t>
      </w:r>
    </w:p>
    <w:p w:rsidR="00E75AB4" w:rsidRDefault="00E75AB4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E75AB4" w:rsidRPr="004D182E" w:rsidRDefault="00E75AB4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  <w:r w:rsidRPr="004D182E">
        <w:rPr>
          <w:rFonts w:ascii="Book Antiqua" w:hAnsi="Book Antiqua"/>
          <w:b/>
          <w:sz w:val="24"/>
          <w:szCs w:val="24"/>
        </w:rPr>
        <w:t xml:space="preserve">Перечень основных мероприятий </w:t>
      </w:r>
      <w:r w:rsidRPr="004D182E"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</w:t>
      </w:r>
    </w:p>
    <w:p w:rsidR="00E75AB4" w:rsidRPr="004D182E" w:rsidRDefault="00E75AB4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E75AB4" w:rsidRPr="004D182E" w:rsidTr="00E41A19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4D182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E75AB4" w:rsidRPr="004D182E" w:rsidTr="00E41A19">
        <w:trPr>
          <w:cantSplit/>
          <w:tblHeader/>
        </w:trPr>
        <w:tc>
          <w:tcPr>
            <w:tcW w:w="534" w:type="dxa"/>
            <w:vMerge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</w:tr>
      <w:tr w:rsidR="00E75AB4" w:rsidRPr="004D182E" w:rsidTr="00E41A19">
        <w:trPr>
          <w:cantSplit/>
          <w:trHeight w:val="380"/>
          <w:tblHeader/>
        </w:trPr>
        <w:tc>
          <w:tcPr>
            <w:tcW w:w="534" w:type="dxa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E75AB4" w:rsidRPr="004D182E" w:rsidTr="00E41A19">
        <w:trPr>
          <w:cantSplit/>
          <w:trHeight w:val="922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приобретение и 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 </w:t>
            </w:r>
            <w:r w:rsidRPr="004D182E">
              <w:rPr>
                <w:rFonts w:ascii="Book Antiqua" w:hAnsi="Book Antiqua"/>
                <w:sz w:val="20"/>
                <w:szCs w:val="20"/>
              </w:rPr>
              <w:t>информационных стендов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211,3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E75AB4" w:rsidRPr="004D182E" w:rsidTr="00E41A19">
        <w:trPr>
          <w:cantSplit/>
          <w:trHeight w:val="992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211,3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E75AB4" w:rsidRPr="004D182E" w:rsidTr="00E41A19">
        <w:trPr>
          <w:cantSplit/>
          <w:trHeight w:val="60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50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75AB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E75AB4" w:rsidRPr="004D182E" w:rsidTr="00E41A19">
        <w:trPr>
          <w:cantSplit/>
          <w:trHeight w:val="126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E75AB4" w:rsidRPr="004D182E" w:rsidTr="00E41A19">
        <w:trPr>
          <w:cantSplit/>
          <w:trHeight w:val="60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202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Разработка, приобретение и распространение наглядно-агитационной продукции (плакатов, памяток, листовок) о порядке и правилах поведения населения при угрозе возникновения террористических актов,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D182E">
              <w:rPr>
                <w:rFonts w:ascii="Book Antiqua" w:hAnsi="Book Antiqua"/>
                <w:sz w:val="20"/>
                <w:szCs w:val="20"/>
              </w:rPr>
              <w:t>направленных на укрепление толерантности</w:t>
            </w:r>
            <w:r>
              <w:rPr>
                <w:rFonts w:ascii="Book Antiqua" w:hAnsi="Book Antiqua"/>
                <w:sz w:val="20"/>
                <w:szCs w:val="20"/>
              </w:rPr>
              <w:t>, литературы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E75AB4" w:rsidRPr="004D182E" w:rsidTr="00E41A19">
        <w:trPr>
          <w:cantSplit/>
          <w:trHeight w:val="850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75AB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274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Приобретение, </w:t>
            </w:r>
            <w:r w:rsidRPr="004D182E">
              <w:rPr>
                <w:rFonts w:ascii="Book Antiqua" w:hAnsi="Book Antiqua"/>
                <w:sz w:val="20"/>
                <w:szCs w:val="20"/>
              </w:rPr>
              <w:t>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системы видеонаблюдения</w:t>
            </w:r>
            <w:r>
              <w:rPr>
                <w:rFonts w:ascii="Book Antiqua" w:hAnsi="Book Antiqua"/>
                <w:sz w:val="20"/>
                <w:szCs w:val="20"/>
              </w:rPr>
              <w:t>, системы охраны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в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мест</w:t>
            </w:r>
            <w:r>
              <w:rPr>
                <w:rFonts w:ascii="Book Antiqua" w:hAnsi="Book Antiqua"/>
                <w:sz w:val="20"/>
                <w:szCs w:val="20"/>
              </w:rPr>
              <w:t>ах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 массовым пребыванием людей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A97B38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A97B38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6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Организация и проведение занятий среди детей и молодежи </w:t>
            </w:r>
            <w:r>
              <w:rPr>
                <w:rFonts w:ascii="Book Antiqua" w:hAnsi="Book Antiqua"/>
                <w:sz w:val="20"/>
                <w:szCs w:val="20"/>
              </w:rPr>
              <w:t>о т</w:t>
            </w:r>
            <w:r w:rsidRPr="004D182E">
              <w:rPr>
                <w:rFonts w:ascii="Book Antiqua" w:hAnsi="Book Antiqua"/>
                <w:sz w:val="20"/>
                <w:szCs w:val="20"/>
              </w:rPr>
              <w:t>олерантно</w:t>
            </w:r>
            <w:r>
              <w:rPr>
                <w:rFonts w:ascii="Book Antiqua" w:hAnsi="Book Antiqua"/>
                <w:sz w:val="20"/>
                <w:szCs w:val="20"/>
              </w:rPr>
              <w:t>сти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к людям других национал</w:t>
            </w:r>
            <w:r>
              <w:rPr>
                <w:rFonts w:ascii="Book Antiqua" w:hAnsi="Book Antiqua"/>
                <w:sz w:val="20"/>
                <w:szCs w:val="20"/>
              </w:rPr>
              <w:t>ьностей и религиозных конфессий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в форме лекций, вечеров вопросов и ответов, конкурсов рисунков и  фестивалей с привлечением сотрудников МВД, МЧС России, медработников, психологов и т.д.</w:t>
            </w:r>
            <w:r>
              <w:rPr>
                <w:rFonts w:ascii="Book Antiqua" w:hAnsi="Book Antiqua"/>
                <w:sz w:val="20"/>
                <w:szCs w:val="20"/>
              </w:rPr>
              <w:t>, приобретение оборудования для наглядности донесения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E75AB4" w:rsidRPr="004D182E" w:rsidTr="00E41A19">
        <w:trPr>
          <w:cantSplit/>
          <w:trHeight w:val="988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Тематические публикации по противодействию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терроризму и профилактике экстремистской деятельности,  по гармонизации межэтнических и межкультурных отношений, профилактике проявления ксенофобии, укрепления толерантности по материалам Прокуратуры, РОВД и др. в газете "Севастопольские известия" и на сайте ВМО Качинского МО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 xml:space="preserve">Общий отдел МА Качинского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414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370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Участие в организации операции "Гараж", "Подвал", "Чердак" с представителями ГУП «Север», Департаментом ЖКХ города, участковыми отделов полиции, направленных на профилактику экстремизма и терроризма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DC0D0D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Организация и проведение конкурса детского рисунка "Дружба народов" к Международному дню толерантности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DC0D0D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Ф</w:t>
            </w:r>
            <w:r w:rsidRPr="004D182E">
              <w:rPr>
                <w:rFonts w:ascii="Book Antiqua" w:hAnsi="Book Antiqua"/>
                <w:sz w:val="20"/>
                <w:szCs w:val="20"/>
              </w:rPr>
              <w:t>естиваль песни и танца нар</w:t>
            </w:r>
            <w:bookmarkStart w:id="0" w:name="_GoBack"/>
            <w:bookmarkEnd w:id="0"/>
            <w:r w:rsidRPr="004D182E">
              <w:rPr>
                <w:rFonts w:ascii="Book Antiqua" w:hAnsi="Book Antiqua"/>
                <w:sz w:val="20"/>
                <w:szCs w:val="20"/>
              </w:rPr>
              <w:t>одов Мира к Международному дню толерантности (16 ноября)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637" w:type="dxa"/>
            <w:gridSpan w:val="4"/>
            <w:vMerge w:val="restart"/>
            <w:vAlign w:val="center"/>
          </w:tcPr>
          <w:p w:rsidR="00E75AB4" w:rsidRPr="005F4C72" w:rsidRDefault="00E75AB4" w:rsidP="00E41A19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589,3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230,0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E75AB4" w:rsidRPr="004D182E" w:rsidTr="00E41A19">
        <w:trPr>
          <w:cantSplit/>
        </w:trPr>
        <w:tc>
          <w:tcPr>
            <w:tcW w:w="5637" w:type="dxa"/>
            <w:gridSpan w:val="4"/>
            <w:vMerge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Местный  </w:t>
            </w:r>
          </w:p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589,3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230,0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E75AB4" w:rsidRPr="004D182E" w:rsidTr="00E41A19">
        <w:trPr>
          <w:cantSplit/>
        </w:trPr>
        <w:tc>
          <w:tcPr>
            <w:tcW w:w="5637" w:type="dxa"/>
            <w:gridSpan w:val="4"/>
            <w:vMerge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5F4C72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5F4C72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E75AB4" w:rsidRPr="004D182E" w:rsidRDefault="00E75AB4" w:rsidP="00E75AB4">
      <w:pPr>
        <w:shd w:val="clear" w:color="auto" w:fill="FFFFFF"/>
        <w:jc w:val="right"/>
        <w:rPr>
          <w:rFonts w:ascii="Book Antiqua" w:hAnsi="Book Antiqua"/>
        </w:rPr>
      </w:pPr>
    </w:p>
    <w:p w:rsidR="00E75AB4" w:rsidRPr="004D182E" w:rsidRDefault="00E75AB4" w:rsidP="00E75AB4">
      <w:pPr>
        <w:shd w:val="clear" w:color="auto" w:fill="FFFFFF"/>
        <w:jc w:val="right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E75AB4" w:rsidRDefault="00E75AB4" w:rsidP="00E75AB4"/>
    <w:p w:rsidR="00A60605" w:rsidRPr="00A60605" w:rsidRDefault="00A60605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  <w:r w:rsidRPr="00A60605">
        <w:rPr>
          <w:rFonts w:ascii="Book Antiqua" w:hAnsi="Book Antiqua"/>
          <w:bCs w:val="0"/>
          <w:sz w:val="28"/>
          <w:szCs w:val="28"/>
        </w:rPr>
        <w:lastRenderedPageBreak/>
        <w:t>ЛИСТ ОЗНАКОМЛЕНИЯ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01.02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16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A60605" w:rsidRPr="00C16B26" w:rsidRDefault="00A60605" w:rsidP="00A606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A60605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56-МА «Об утверждении  муниципальной программы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A60605" w:rsidRPr="00C16B26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Pr="00C16B26" w:rsidRDefault="00A60605" w:rsidP="00A6060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A60605" w:rsidRPr="00C16B26" w:rsidTr="007D1269">
        <w:tc>
          <w:tcPr>
            <w:tcW w:w="4785" w:type="dxa"/>
          </w:tcPr>
          <w:p w:rsidR="00A60605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A60605" w:rsidRPr="00C16B26" w:rsidTr="007D1269">
        <w:tc>
          <w:tcPr>
            <w:tcW w:w="4785" w:type="dxa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60605" w:rsidRPr="00C16B26" w:rsidRDefault="00A6060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</w:tbl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/>
    <w:p w:rsidR="00A60605" w:rsidRDefault="00A60605" w:rsidP="00E75AB4"/>
    <w:sectPr w:rsidR="00A60605" w:rsidSect="00E75AB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21" w:rsidRDefault="00E35321">
      <w:r>
        <w:separator/>
      </w:r>
    </w:p>
  </w:endnote>
  <w:endnote w:type="continuationSeparator" w:id="0">
    <w:p w:rsidR="00E35321" w:rsidRDefault="00E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21" w:rsidRDefault="00E35321">
      <w:r>
        <w:separator/>
      </w:r>
    </w:p>
  </w:footnote>
  <w:footnote w:type="continuationSeparator" w:id="0">
    <w:p w:rsidR="00E35321" w:rsidRDefault="00E3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370A3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0605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0D0D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5321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6060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A6060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6060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A6060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736F-DE03-4756-B2B1-9F6C26B6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2017-02-10T08:23:00Z</cp:lastPrinted>
  <dcterms:created xsi:type="dcterms:W3CDTF">2017-02-10T06:44:00Z</dcterms:created>
  <dcterms:modified xsi:type="dcterms:W3CDTF">2017-02-10T08:26:00Z</dcterms:modified>
</cp:coreProperties>
</file>