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A5" w:rsidRPr="00343CA5" w:rsidRDefault="00073099" w:rsidP="00343CA5">
      <w:pPr>
        <w:pStyle w:val="a6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  <w:r w:rsidRPr="00073099">
        <w:rPr>
          <w:rFonts w:ascii="Book Antiqua" w:eastAsia="Times New Roman" w:hAnsi="Book Antiqua" w:cs="Book Antiqua"/>
          <w:b/>
          <w:bCs/>
          <w:kern w:val="0"/>
          <w:sz w:val="32"/>
          <w:szCs w:val="32"/>
          <w:lang w:eastAsia="ru-RU"/>
        </w:rPr>
        <w:t xml:space="preserve">         </w:t>
      </w:r>
      <w:r w:rsidR="002326AD" w:rsidRPr="0028180B">
        <w:rPr>
          <w:rFonts w:ascii="Book Antiqua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1C582CAB" wp14:editId="7DB661A7">
            <wp:extent cx="762000" cy="971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CA5" w:rsidRPr="00343CA5" w:rsidRDefault="00343CA5" w:rsidP="00261588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МЕСТНАЯ АДМИНИСТРАЦИЯ</w:t>
      </w:r>
    </w:p>
    <w:p w:rsidR="00343CA5" w:rsidRPr="00343CA5" w:rsidRDefault="00343CA5" w:rsidP="00261588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32"/>
          <w:szCs w:val="32"/>
          <w:u w:val="single"/>
          <w:lang w:eastAsia="en-US"/>
        </w:rPr>
        <w:t>КАЧИНСКОГО МУНИЦИПАЛЬНОГО ОКРУГА</w:t>
      </w:r>
    </w:p>
    <w:p w:rsidR="00343CA5" w:rsidRPr="00343CA5" w:rsidRDefault="00343CA5" w:rsidP="00261588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kern w:val="0"/>
          <w:sz w:val="32"/>
          <w:szCs w:val="32"/>
          <w:u w:val="single"/>
          <w:lang w:eastAsia="en-US"/>
        </w:rPr>
      </w:pPr>
    </w:p>
    <w:p w:rsidR="00343CA5" w:rsidRPr="00343CA5" w:rsidRDefault="00343CA5" w:rsidP="00261588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ПОСТАНОВЛЕНИЕ</w:t>
      </w:r>
    </w:p>
    <w:p w:rsidR="00343CA5" w:rsidRPr="00343CA5" w:rsidRDefault="00343CA5" w:rsidP="00261588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6"/>
          <w:szCs w:val="6"/>
          <w:lang w:eastAsia="en-US"/>
        </w:rPr>
      </w:pPr>
    </w:p>
    <w:p w:rsidR="00343CA5" w:rsidRPr="00343CA5" w:rsidRDefault="00343CA5" w:rsidP="00261588">
      <w:pPr>
        <w:suppressAutoHyphens w:val="0"/>
        <w:spacing w:after="0" w:line="240" w:lineRule="auto"/>
        <w:ind w:firstLine="709"/>
        <w:jc w:val="center"/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</w:pP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 xml:space="preserve">№   </w:t>
      </w:r>
      <w:r w:rsidR="00B33797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159</w:t>
      </w:r>
      <w:r w:rsidRPr="00343CA5">
        <w:rPr>
          <w:rFonts w:ascii="Book Antiqua" w:eastAsia="Calibri" w:hAnsi="Book Antiqua" w:cs="Times New Roman"/>
          <w:b/>
          <w:i/>
          <w:kern w:val="0"/>
          <w:sz w:val="40"/>
          <w:szCs w:val="40"/>
          <w:lang w:eastAsia="en-US"/>
        </w:rPr>
        <w:t>-МА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679"/>
        <w:gridCol w:w="4676"/>
      </w:tblGrid>
      <w:tr w:rsidR="00343CA5" w:rsidRPr="00343CA5" w:rsidTr="00933D57">
        <w:tc>
          <w:tcPr>
            <w:tcW w:w="4785" w:type="dxa"/>
            <w:shd w:val="clear" w:color="auto" w:fill="auto"/>
          </w:tcPr>
          <w:p w:rsidR="00343CA5" w:rsidRPr="00343CA5" w:rsidRDefault="002326AD" w:rsidP="00B33797">
            <w:pPr>
              <w:suppressAutoHyphens w:val="0"/>
              <w:spacing w:after="0" w:line="240" w:lineRule="auto"/>
              <w:jc w:val="both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  1</w:t>
            </w:r>
            <w:r w:rsidR="00B33797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2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="00AE55EC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ноя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бря 20</w:t>
            </w:r>
            <w:r w:rsidR="00B33797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20</w:t>
            </w:r>
            <w:r w:rsidR="00343CA5"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4785" w:type="dxa"/>
            <w:shd w:val="clear" w:color="auto" w:fill="auto"/>
          </w:tcPr>
          <w:p w:rsidR="00343CA5" w:rsidRPr="00343CA5" w:rsidRDefault="00343CA5" w:rsidP="00261588">
            <w:pPr>
              <w:suppressAutoHyphens w:val="0"/>
              <w:spacing w:after="0" w:line="240" w:lineRule="auto"/>
              <w:ind w:firstLine="709"/>
              <w:jc w:val="right"/>
              <w:rPr>
                <w:rFonts w:ascii="Book Antiqua" w:eastAsia="Calibri" w:hAnsi="Book Antiqua" w:cs="Times New Roman"/>
                <w:b/>
                <w:kern w:val="0"/>
                <w:sz w:val="28"/>
                <w:szCs w:val="28"/>
                <w:u w:val="single"/>
                <w:lang w:eastAsia="en-US"/>
              </w:rPr>
            </w:pPr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пгт</w:t>
            </w:r>
            <w:proofErr w:type="spellEnd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43CA5">
              <w:rPr>
                <w:rFonts w:ascii="Book Antiqua" w:eastAsia="Calibri" w:hAnsi="Book Antiqua" w:cs="Times New Roman"/>
                <w:kern w:val="0"/>
                <w:sz w:val="24"/>
                <w:szCs w:val="24"/>
                <w:lang w:eastAsia="en-US"/>
              </w:rPr>
              <w:t>Кача</w:t>
            </w:r>
            <w:proofErr w:type="spellEnd"/>
          </w:p>
        </w:tc>
      </w:tr>
    </w:tbl>
    <w:p w:rsidR="00073099" w:rsidRPr="00073099" w:rsidRDefault="00073099" w:rsidP="00261588">
      <w:pPr>
        <w:tabs>
          <w:tab w:val="left" w:pos="6660"/>
        </w:tabs>
        <w:suppressAutoHyphens w:val="0"/>
        <w:spacing w:after="0" w:line="240" w:lineRule="auto"/>
        <w:rPr>
          <w:color w:val="000000" w:themeColor="text1"/>
          <w:u w:val="single"/>
        </w:rPr>
      </w:pPr>
    </w:p>
    <w:p w:rsidR="00073099" w:rsidRPr="00F44930" w:rsidRDefault="00073099" w:rsidP="00261588">
      <w:pPr>
        <w:pStyle w:val="a7"/>
        <w:spacing w:before="0" w:beforeAutospacing="0" w:after="0" w:afterAutospacing="0" w:line="270" w:lineRule="atLeast"/>
        <w:jc w:val="both"/>
        <w:rPr>
          <w:i/>
          <w:color w:val="000000" w:themeColor="text1"/>
          <w:sz w:val="28"/>
          <w:szCs w:val="28"/>
          <w:u w:val="single"/>
        </w:rPr>
      </w:pPr>
    </w:p>
    <w:p w:rsidR="00073099" w:rsidRPr="00E06EFA" w:rsidRDefault="00073099" w:rsidP="00261588">
      <w:pPr>
        <w:pStyle w:val="a7"/>
        <w:spacing w:before="0" w:beforeAutospacing="0" w:after="0" w:afterAutospacing="0" w:line="270" w:lineRule="atLeast"/>
        <w:jc w:val="center"/>
        <w:rPr>
          <w:rFonts w:ascii="Book Antiqua" w:hAnsi="Book Antiqua" w:cs="Angsana New"/>
          <w:b/>
          <w:i/>
          <w:color w:val="000000" w:themeColor="text1"/>
        </w:rPr>
      </w:pPr>
      <w:r w:rsidRPr="00E06EFA">
        <w:rPr>
          <w:rFonts w:ascii="Book Antiqua" w:hAnsi="Book Antiqua"/>
          <w:b/>
          <w:i/>
          <w:color w:val="000000" w:themeColor="text1"/>
        </w:rPr>
        <w:t>О</w:t>
      </w:r>
      <w:r w:rsidR="00CC532D">
        <w:rPr>
          <w:rFonts w:ascii="Book Antiqua" w:hAnsi="Book Antiqua"/>
          <w:b/>
          <w:i/>
          <w:color w:val="000000" w:themeColor="text1"/>
        </w:rPr>
        <w:t>б одобрении основных показателей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CC532D">
        <w:rPr>
          <w:rFonts w:ascii="Book Antiqua" w:hAnsi="Book Antiqua" w:cs="Angsana New"/>
          <w:b/>
          <w:i/>
          <w:color w:val="000000" w:themeColor="text1"/>
        </w:rPr>
        <w:t>П</w:t>
      </w:r>
      <w:r w:rsidR="00CC532D">
        <w:rPr>
          <w:rFonts w:ascii="Book Antiqua" w:hAnsi="Book Antiqua"/>
          <w:b/>
          <w:i/>
          <w:color w:val="000000" w:themeColor="text1"/>
        </w:rPr>
        <w:t>рогноза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социально</w:t>
      </w:r>
      <w:r w:rsidRPr="00E06EFA">
        <w:rPr>
          <w:rFonts w:ascii="Book Antiqua" w:hAnsi="Book Antiqua" w:cs="Angsana New"/>
          <w:b/>
          <w:i/>
          <w:color w:val="000000" w:themeColor="text1"/>
        </w:rPr>
        <w:t>-</w:t>
      </w:r>
      <w:r w:rsidRPr="00E06EFA">
        <w:rPr>
          <w:rFonts w:ascii="Book Antiqua" w:hAnsi="Book Antiqua"/>
          <w:b/>
          <w:i/>
          <w:color w:val="000000" w:themeColor="text1"/>
        </w:rPr>
        <w:t>экономического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развития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B81BCF">
        <w:rPr>
          <w:rFonts w:ascii="Book Antiqua" w:hAnsi="Book Antiqua" w:cs="Angsana New"/>
          <w:b/>
          <w:i/>
          <w:color w:val="000000" w:themeColor="text1"/>
        </w:rPr>
        <w:t xml:space="preserve">территории </w:t>
      </w:r>
      <w:r w:rsidRPr="00E06EFA">
        <w:rPr>
          <w:rFonts w:ascii="Book Antiqua" w:hAnsi="Book Antiqua"/>
          <w:b/>
          <w:i/>
          <w:color w:val="000000" w:themeColor="text1"/>
        </w:rPr>
        <w:t>внутригородского</w:t>
      </w:r>
      <w:r w:rsidR="00CC532D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муниципального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образования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города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Севастополя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Качинский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муниципальный</w:t>
      </w:r>
      <w:r w:rsidR="00CC532D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округ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на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E927E1">
        <w:rPr>
          <w:rFonts w:ascii="Book Antiqua" w:hAnsi="Book Antiqua" w:cs="Angsana New"/>
          <w:b/>
          <w:i/>
          <w:color w:val="000000" w:themeColor="text1"/>
        </w:rPr>
        <w:t xml:space="preserve">очередной </w:t>
      </w:r>
      <w:r w:rsidR="002326AD">
        <w:rPr>
          <w:rFonts w:ascii="Book Antiqua" w:hAnsi="Book Antiqua" w:cs="Angsana New"/>
          <w:b/>
          <w:i/>
          <w:color w:val="000000" w:themeColor="text1"/>
        </w:rPr>
        <w:t>202</w:t>
      </w:r>
      <w:r w:rsidR="00B33797">
        <w:rPr>
          <w:rFonts w:ascii="Book Antiqua" w:hAnsi="Book Antiqua" w:cs="Angsana New"/>
          <w:b/>
          <w:i/>
          <w:color w:val="000000" w:themeColor="text1"/>
        </w:rPr>
        <w:t>1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год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и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плановый</w:t>
      </w:r>
      <w:r w:rsidR="004B2590">
        <w:rPr>
          <w:rFonts w:ascii="Book Antiqua" w:hAnsi="Book Antiqua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период</w:t>
      </w:r>
      <w:r w:rsidR="002326AD">
        <w:rPr>
          <w:rFonts w:ascii="Book Antiqua" w:hAnsi="Book Antiqua" w:cs="Angsana New"/>
          <w:b/>
          <w:i/>
          <w:color w:val="000000" w:themeColor="text1"/>
        </w:rPr>
        <w:t xml:space="preserve"> 202</w:t>
      </w:r>
      <w:r w:rsidR="00B33797">
        <w:rPr>
          <w:rFonts w:ascii="Book Antiqua" w:hAnsi="Book Antiqua" w:cs="Angsana New"/>
          <w:b/>
          <w:i/>
          <w:color w:val="000000" w:themeColor="text1"/>
        </w:rPr>
        <w:t>2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="00AE55EC">
        <w:rPr>
          <w:rFonts w:ascii="Book Antiqua" w:hAnsi="Book Antiqua" w:cs="Angsana New"/>
          <w:b/>
          <w:i/>
          <w:color w:val="000000" w:themeColor="text1"/>
        </w:rPr>
        <w:t>и 202</w:t>
      </w:r>
      <w:r w:rsidR="00B33797">
        <w:rPr>
          <w:rFonts w:ascii="Book Antiqua" w:hAnsi="Book Antiqua" w:cs="Angsana New"/>
          <w:b/>
          <w:i/>
          <w:color w:val="000000" w:themeColor="text1"/>
        </w:rPr>
        <w:t>3</w:t>
      </w:r>
      <w:r w:rsidRPr="00E06EFA">
        <w:rPr>
          <w:rFonts w:ascii="Book Antiqua" w:hAnsi="Book Antiqua" w:cs="Angsana New"/>
          <w:b/>
          <w:i/>
          <w:color w:val="000000" w:themeColor="text1"/>
        </w:rPr>
        <w:t xml:space="preserve"> </w:t>
      </w:r>
      <w:r w:rsidRPr="00E06EFA">
        <w:rPr>
          <w:rFonts w:ascii="Book Antiqua" w:hAnsi="Book Antiqua"/>
          <w:b/>
          <w:i/>
          <w:color w:val="000000" w:themeColor="text1"/>
        </w:rPr>
        <w:t>годов</w:t>
      </w:r>
    </w:p>
    <w:p w:rsidR="00073099" w:rsidRDefault="00073099" w:rsidP="002615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193CF3" w:rsidRDefault="00193CF3" w:rsidP="00261588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</w:rPr>
      </w:pPr>
    </w:p>
    <w:p w:rsidR="00E06EFA" w:rsidRDefault="0089674C" w:rsidP="007A24E7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соответствии с Бюджетным кодексом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89674C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Российской</w:t>
      </w:r>
      <w:r w:rsidRPr="00F44930">
        <w:rPr>
          <w:rFonts w:ascii="Book Antiqua" w:hAnsi="Book Antiqua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Федерации,</w:t>
      </w:r>
      <w:r w:rsidR="004F0AB9" w:rsidRPr="004F0AB9">
        <w:rPr>
          <w:rFonts w:ascii="Book Antiqua" w:hAnsi="Book Antiqua" w:cs="Times New Roman"/>
          <w:color w:val="000000" w:themeColor="text1"/>
          <w:sz w:val="24"/>
          <w:szCs w:val="24"/>
        </w:rPr>
        <w:t xml:space="preserve"> </w:t>
      </w:r>
      <w:r w:rsidR="00CC532D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>Налоговым кодексом</w:t>
      </w:r>
      <w:r w:rsidR="004F0AB9"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</w:rPr>
        <w:t xml:space="preserve"> Российской Федерации,</w:t>
      </w:r>
      <w:r w:rsidRPr="004F0AB9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E2BC6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Законом города Севастополя от 30 декабря 2014 г. № 102-ЗС «О местном самоуправлении в городе Севастополе», Постановлением</w:t>
      </w:r>
      <w:r w:rsidR="00CC532D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Правительства Севастополя от 14 октября 2019 г. № 578</w:t>
      </w:r>
      <w:r w:rsidR="005E2BC6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-ПП «О прогнозе социально-экономического развития г</w:t>
      </w:r>
      <w:r w:rsidR="00E22899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о</w:t>
      </w:r>
      <w:r w:rsidR="00CC532D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рода Севастополя на 2020, плановый период 2021 и 2022</w:t>
      </w:r>
      <w:r w:rsidR="005E2BC6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годов</w:t>
      </w:r>
      <w:r w:rsidR="00CC532D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 на период </w:t>
      </w:r>
      <w:r w:rsidR="00263EF3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2023 и 2024 годов</w:t>
      </w:r>
      <w:r w:rsidR="005E2BC6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="00E22899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5E2BC6">
        <w:rPr>
          <w:rFonts w:ascii="Book Antiqua" w:hAnsi="Book Antiqua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06EFA">
        <w:rPr>
          <w:rFonts w:ascii="Book Antiqua" w:hAnsi="Book Antiqua" w:cs="Times New Roman"/>
          <w:b w:val="0"/>
          <w:sz w:val="24"/>
          <w:szCs w:val="24"/>
        </w:rPr>
        <w:t>Уставом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</w:t>
      </w:r>
      <w:r w:rsidR="00571AF8">
        <w:rPr>
          <w:rFonts w:ascii="Book Antiqua" w:hAnsi="Book Antiqua" w:cs="Times New Roman"/>
          <w:b w:val="0"/>
          <w:sz w:val="24"/>
          <w:szCs w:val="24"/>
        </w:rPr>
        <w:t>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>П</w:t>
      </w:r>
      <w:r w:rsidR="00E06EFA">
        <w:rPr>
          <w:rFonts w:ascii="Book Antiqua" w:hAnsi="Book Antiqua" w:cs="Times New Roman"/>
          <w:b w:val="0"/>
          <w:sz w:val="24"/>
          <w:szCs w:val="24"/>
        </w:rPr>
        <w:t>оложением о местной администрации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внутригородского муниципального образования Качинский муниципальный округ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, 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утвержденным Решением </w:t>
      </w:r>
      <w:r w:rsidR="00E06EFA">
        <w:rPr>
          <w:rFonts w:ascii="Book Antiqua" w:hAnsi="Book Antiqua" w:cs="Times New Roman"/>
          <w:b w:val="0"/>
          <w:sz w:val="24"/>
          <w:szCs w:val="24"/>
        </w:rPr>
        <w:t>Совет</w:t>
      </w:r>
      <w:r w:rsidR="00571AF8">
        <w:rPr>
          <w:rFonts w:ascii="Book Antiqua" w:hAnsi="Book Antiqua" w:cs="Times New Roman"/>
          <w:b w:val="0"/>
          <w:sz w:val="24"/>
          <w:szCs w:val="24"/>
        </w:rPr>
        <w:t>а</w:t>
      </w:r>
      <w:r w:rsidR="00E06EFA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г. Севастополя от 13.05.2015 №14, законом Севастополя от 02.06.2004 г. №17-ЗС «Об установлении границ и статусе муниципальных образований в городе Севастополе», </w:t>
      </w:r>
      <w:r w:rsidR="00CF7BC1">
        <w:rPr>
          <w:rFonts w:ascii="Book Antiqua" w:hAnsi="Book Antiqua" w:cs="Times New Roman"/>
          <w:b w:val="0"/>
          <w:sz w:val="24"/>
          <w:szCs w:val="24"/>
        </w:rPr>
        <w:t>местная администрация</w:t>
      </w:r>
      <w:r w:rsidR="00571AF8">
        <w:rPr>
          <w:rFonts w:ascii="Book Antiqua" w:hAnsi="Book Antiqua" w:cs="Times New Roman"/>
          <w:b w:val="0"/>
          <w:sz w:val="24"/>
          <w:szCs w:val="24"/>
        </w:rPr>
        <w:t xml:space="preserve"> Качинского муниципального округа</w:t>
      </w:r>
    </w:p>
    <w:p w:rsidR="00193CF3" w:rsidRDefault="00193CF3" w:rsidP="007A24E7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E06EFA" w:rsidRDefault="00CF7BC1" w:rsidP="007A24E7">
      <w:pPr>
        <w:pStyle w:val="ConsPlusTitle"/>
        <w:widowControl/>
        <w:ind w:firstLine="708"/>
        <w:jc w:val="center"/>
        <w:rPr>
          <w:rFonts w:ascii="Book Antiqua" w:hAnsi="Book Antiqua" w:cs="Times New Roman"/>
          <w:b w:val="0"/>
          <w:sz w:val="24"/>
          <w:szCs w:val="24"/>
        </w:rPr>
      </w:pPr>
      <w:r>
        <w:rPr>
          <w:rFonts w:ascii="Book Antiqua" w:hAnsi="Book Antiqua" w:cs="Times New Roman"/>
          <w:b w:val="0"/>
          <w:sz w:val="24"/>
          <w:szCs w:val="24"/>
        </w:rPr>
        <w:t>ПОСТАНОВ</w:t>
      </w:r>
      <w:r w:rsidR="00593760">
        <w:rPr>
          <w:rFonts w:ascii="Book Antiqua" w:hAnsi="Book Antiqua" w:cs="Times New Roman"/>
          <w:b w:val="0"/>
          <w:sz w:val="24"/>
          <w:szCs w:val="24"/>
        </w:rPr>
        <w:t>ЛЯЕТ</w:t>
      </w:r>
      <w:r w:rsidR="00E06EFA">
        <w:rPr>
          <w:rFonts w:ascii="Book Antiqua" w:hAnsi="Book Antiqua" w:cs="Times New Roman"/>
          <w:b w:val="0"/>
          <w:sz w:val="24"/>
          <w:szCs w:val="24"/>
        </w:rPr>
        <w:t>:</w:t>
      </w:r>
    </w:p>
    <w:p w:rsidR="0089674C" w:rsidRDefault="0089674C" w:rsidP="007A24E7">
      <w:pPr>
        <w:pStyle w:val="ConsPlusTitle"/>
        <w:widowControl/>
        <w:ind w:firstLine="708"/>
        <w:jc w:val="both"/>
        <w:rPr>
          <w:rFonts w:ascii="Book Antiqua" w:hAnsi="Book Antiqua" w:cs="Times New Roman"/>
          <w:b w:val="0"/>
          <w:sz w:val="24"/>
          <w:szCs w:val="24"/>
        </w:rPr>
      </w:pPr>
    </w:p>
    <w:p w:rsidR="00073099" w:rsidRDefault="00B41B83" w:rsidP="007A24E7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Одобр</w:t>
      </w:r>
      <w:r w:rsidR="0089674C"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ить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</w:t>
      </w:r>
      <w:r w:rsidR="0089674C" w:rsidRPr="0089674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рогноз социально-экономического развития внутригородского муниципального образования города Севастополя Качин</w:t>
      </w:r>
      <w:r w:rsidR="005E1E1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ский муниципальный округ на </w:t>
      </w:r>
      <w:r w:rsidR="00E927E1" w:rsidRPr="00E927E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очередной финансовый 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2021</w:t>
      </w:r>
      <w:r w:rsidR="00AE55E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r w:rsidR="005E1E1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годов, согласно </w:t>
      </w:r>
      <w:r w:rsidR="0035531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Приложению,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к настоящему постановлению.</w:t>
      </w:r>
    </w:p>
    <w:p w:rsidR="0014184F" w:rsidRDefault="0014184F" w:rsidP="007A24E7">
      <w:pPr>
        <w:pStyle w:val="ab"/>
        <w:suppressAutoHyphens w:val="0"/>
        <w:spacing w:after="0" w:line="240" w:lineRule="auto"/>
        <w:ind w:left="360"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355314" w:rsidRDefault="00355314" w:rsidP="007A24E7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Считать утратившим силу Постанов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ление местной администрации от 11 ноября 2019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года 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№ 151</w:t>
      </w:r>
      <w:r w:rsidR="007A4B5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-МА</w:t>
      </w:r>
      <w:r w:rsidR="007A4B58" w:rsidRPr="0035531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35531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«О прогнозе социально-экономического развития территории внутригородского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35531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образования города Севастополя Качинский муниципальный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35531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округ на очередной 20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 год и плановый период 2021 и 2022</w:t>
      </w:r>
      <w:r w:rsidRPr="0035531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годов»</w:t>
      </w:r>
    </w:p>
    <w:p w:rsidR="00D85E0C" w:rsidRDefault="00D85E0C" w:rsidP="007A24E7">
      <w:pPr>
        <w:pStyle w:val="ab"/>
        <w:numPr>
          <w:ilvl w:val="0"/>
          <w:numId w:val="5"/>
        </w:numPr>
        <w:suppressAutoHyphens w:val="0"/>
        <w:spacing w:after="0" w:line="240" w:lineRule="auto"/>
        <w:ind w:left="0" w:firstLine="708"/>
        <w:jc w:val="both"/>
        <w:rPr>
          <w:rFonts w:ascii="Book Antiqua" w:hAnsi="Book Antiqua"/>
          <w:sz w:val="24"/>
          <w:szCs w:val="24"/>
        </w:rPr>
      </w:pPr>
      <w:r w:rsidRPr="0014184F">
        <w:rPr>
          <w:rFonts w:ascii="Book Antiqua" w:hAnsi="Book Antiqua"/>
          <w:sz w:val="24"/>
          <w:szCs w:val="24"/>
        </w:rPr>
        <w:lastRenderedPageBreak/>
        <w:t xml:space="preserve">Обнародовать настоящее Постановление на официальном сайте Качинского муниципального округа и информационном стенде Качинского муниципального округа по адресу: 299804, г. Севастополь, </w:t>
      </w:r>
      <w:proofErr w:type="spellStart"/>
      <w:r w:rsidRPr="0014184F">
        <w:rPr>
          <w:rFonts w:ascii="Book Antiqua" w:hAnsi="Book Antiqua"/>
          <w:sz w:val="24"/>
          <w:szCs w:val="24"/>
        </w:rPr>
        <w:t>пгт</w:t>
      </w:r>
      <w:proofErr w:type="spellEnd"/>
      <w:r w:rsidRPr="0014184F">
        <w:rPr>
          <w:rFonts w:ascii="Book Antiqua" w:hAnsi="Book Antiqua"/>
          <w:sz w:val="24"/>
          <w:szCs w:val="24"/>
        </w:rPr>
        <w:t xml:space="preserve"> </w:t>
      </w:r>
      <w:proofErr w:type="spellStart"/>
      <w:r w:rsidRPr="0014184F">
        <w:rPr>
          <w:rFonts w:ascii="Book Antiqua" w:hAnsi="Book Antiqua"/>
          <w:sz w:val="24"/>
          <w:szCs w:val="24"/>
        </w:rPr>
        <w:t>Кача</w:t>
      </w:r>
      <w:proofErr w:type="spellEnd"/>
      <w:r w:rsidRPr="0014184F">
        <w:rPr>
          <w:rFonts w:ascii="Book Antiqua" w:hAnsi="Book Antiqua"/>
          <w:sz w:val="24"/>
          <w:szCs w:val="24"/>
        </w:rPr>
        <w:t xml:space="preserve">, ул. Нестерова,5. </w:t>
      </w:r>
    </w:p>
    <w:p w:rsidR="0014184F" w:rsidRPr="0014184F" w:rsidRDefault="0014184F" w:rsidP="007A24E7">
      <w:pPr>
        <w:pStyle w:val="ab"/>
        <w:suppressAutoHyphens w:val="0"/>
        <w:spacing w:after="0" w:line="240" w:lineRule="auto"/>
        <w:ind w:left="360" w:firstLine="708"/>
        <w:jc w:val="both"/>
        <w:rPr>
          <w:rFonts w:ascii="Book Antiqua" w:hAnsi="Book Antiqua"/>
          <w:sz w:val="24"/>
          <w:szCs w:val="24"/>
        </w:rPr>
      </w:pPr>
    </w:p>
    <w:p w:rsidR="00571AF8" w:rsidRDefault="00CF7BC1" w:rsidP="007A24E7">
      <w:pPr>
        <w:pStyle w:val="ab"/>
        <w:numPr>
          <w:ilvl w:val="0"/>
          <w:numId w:val="5"/>
        </w:numPr>
        <w:suppressAutoHyphens w:val="0"/>
        <w:spacing w:after="0" w:line="240" w:lineRule="auto"/>
        <w:ind w:hanging="11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ние вступает в силу </w:t>
      </w:r>
      <w:r w:rsidR="00D85E0C" w:rsidRPr="00D85E0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 момента</w:t>
      </w:r>
      <w:r w:rsidR="00D85E0C" w:rsidRPr="0014184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D85E0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обнародова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ния.</w:t>
      </w:r>
    </w:p>
    <w:p w:rsidR="0014184F" w:rsidRPr="0014184F" w:rsidRDefault="0014184F" w:rsidP="007A24E7">
      <w:pPr>
        <w:pStyle w:val="ab"/>
        <w:ind w:firstLine="708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14184F" w:rsidRPr="00571AF8" w:rsidRDefault="0014184F" w:rsidP="007A24E7">
      <w:pPr>
        <w:pStyle w:val="ab"/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7A4B58" w:rsidP="007A24E7">
      <w:pPr>
        <w:pStyle w:val="ab"/>
        <w:suppressAutoHyphens w:val="0"/>
        <w:spacing w:after="0" w:line="240" w:lineRule="auto"/>
        <w:ind w:left="0"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5</w:t>
      </w:r>
      <w:r w:rsidR="00C1737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Конт</w:t>
      </w:r>
      <w:r w:rsidR="0053289B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роль за исполнением настоящего </w:t>
      </w:r>
      <w:r w:rsidR="00CF7BC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Постановления</w:t>
      </w:r>
      <w:r w:rsidR="00FA30C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возложить на главу внутригородского муниципального </w:t>
      </w:r>
      <w:r w:rsidR="00F7271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образования города Севастополя </w:t>
      </w:r>
      <w:r w:rsidR="00571AF8" w:rsidRPr="00571AF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 Герасим Н.М.</w:t>
      </w:r>
    </w:p>
    <w:p w:rsidR="00193CF3" w:rsidRPr="00571AF8" w:rsidRDefault="00193CF3" w:rsidP="007A24E7">
      <w:pPr>
        <w:suppressAutoHyphens w:val="0"/>
        <w:spacing w:after="0" w:line="240" w:lineRule="auto"/>
        <w:ind w:firstLine="708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7A24E7">
      <w:pPr>
        <w:suppressAutoHyphens w:val="0"/>
        <w:spacing w:after="0" w:line="240" w:lineRule="auto"/>
        <w:ind w:firstLine="708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71AF8" w:rsidRPr="00571AF8" w:rsidRDefault="00571AF8" w:rsidP="007A24E7">
      <w:pPr>
        <w:suppressAutoHyphens w:val="0"/>
        <w:spacing w:after="0" w:line="240" w:lineRule="auto"/>
        <w:ind w:left="360" w:hanging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Глава ВМО Качинский </w:t>
      </w:r>
      <w:proofErr w:type="gramStart"/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МО,</w:t>
      </w:r>
      <w:r w:rsidR="00F72715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</w:t>
      </w:r>
      <w:proofErr w:type="gramEnd"/>
      <w:r w:rsidR="00F72715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 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                            Н.М. Герасим</w:t>
      </w:r>
    </w:p>
    <w:p w:rsidR="00571AF8" w:rsidRPr="00571AF8" w:rsidRDefault="00571AF8" w:rsidP="007A24E7">
      <w:pPr>
        <w:suppressAutoHyphens w:val="0"/>
        <w:spacing w:after="0" w:line="240" w:lineRule="auto"/>
        <w:ind w:left="360" w:hanging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CF7BC1" w:rsidRPr="00E22899" w:rsidRDefault="00E22899" w:rsidP="007A24E7">
      <w:pPr>
        <w:suppressAutoHyphens w:val="0"/>
        <w:spacing w:after="0" w:line="240" w:lineRule="auto"/>
        <w:ind w:left="360" w:hanging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местной администрации</w:t>
      </w: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D85E0C" w:rsidRDefault="00D85E0C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14184F" w:rsidRDefault="0014184F" w:rsidP="007A24E7">
      <w:pPr>
        <w:suppressAutoHyphens w:val="0"/>
        <w:spacing w:after="0" w:line="240" w:lineRule="auto"/>
        <w:ind w:left="5103" w:firstLine="708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</w:p>
    <w:p w:rsidR="00073099" w:rsidRPr="00073099" w:rsidRDefault="00073099" w:rsidP="007A24E7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П</w:t>
      </w:r>
      <w:r w:rsidR="00D85E0C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риложение</w:t>
      </w:r>
    </w:p>
    <w:p w:rsidR="00073099" w:rsidRPr="00073099" w:rsidRDefault="00073099" w:rsidP="007A24E7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к </w:t>
      </w:r>
      <w:r w:rsidR="00835E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постановл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ению местной администрации</w:t>
      </w: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Качинского муниципального округа                        </w:t>
      </w:r>
    </w:p>
    <w:p w:rsidR="00073099" w:rsidRPr="00073099" w:rsidRDefault="00073099" w:rsidP="007A24E7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г. Севастополя</w:t>
      </w:r>
    </w:p>
    <w:p w:rsidR="00073099" w:rsidRPr="00073099" w:rsidRDefault="00D85E0C" w:rsidP="007A24E7">
      <w:pPr>
        <w:suppressAutoHyphens w:val="0"/>
        <w:spacing w:after="0" w:line="240" w:lineRule="auto"/>
        <w:ind w:left="5103"/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от «1</w:t>
      </w:r>
      <w:r w:rsidR="00B33797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2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» </w:t>
      </w:r>
      <w:r w:rsidR="00AE55EC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ноя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бря</w:t>
      </w:r>
      <w:r w:rsidR="00B33797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2020</w:t>
      </w:r>
      <w:r w:rsidR="00073099" w:rsidRPr="00073099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 xml:space="preserve"> г. № </w:t>
      </w:r>
      <w:r w:rsidR="00AE55EC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15</w:t>
      </w:r>
      <w:r w:rsidR="00B33797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9</w:t>
      </w:r>
      <w:r w:rsidR="00CF7BC1">
        <w:rPr>
          <w:rFonts w:ascii="Book Antiqua" w:eastAsia="Times New Roman" w:hAnsi="Book Antiqua" w:cs="Book Antiqua"/>
          <w:b/>
          <w:bCs/>
          <w:i/>
          <w:iCs/>
          <w:kern w:val="0"/>
          <w:sz w:val="24"/>
          <w:szCs w:val="24"/>
          <w:lang w:eastAsia="ru-RU"/>
        </w:rPr>
        <w:t>-МА</w:t>
      </w:r>
    </w:p>
    <w:p w:rsidR="00073099" w:rsidRDefault="004D0C29" w:rsidP="007A24E7">
      <w:pPr>
        <w:suppressAutoHyphens w:val="0"/>
        <w:spacing w:after="0" w:line="240" w:lineRule="auto"/>
        <w:ind w:firstLine="708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  <w:r w:rsidRPr="004D0C29">
        <w:rPr>
          <w:rFonts w:ascii="Times New Roman" w:eastAsia="Times New Roman" w:hAnsi="Times New Roman" w:cs="Times New Roman"/>
          <w:i/>
          <w:color w:val="000000" w:themeColor="text1"/>
          <w:kern w:val="0"/>
          <w:sz w:val="24"/>
          <w:szCs w:val="24"/>
          <w:u w:val="single"/>
          <w:lang w:eastAsia="ru-RU"/>
        </w:rPr>
        <w:br/>
      </w:r>
      <w:r w:rsidR="0046099E" w:rsidRPr="0046099E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>Прогноз внутригородского муниципального образования города Севастополя Качинского муниципального округа на очередной финансовый 2021 год и плановые периоды 2022 и 2023 годов</w:t>
      </w:r>
    </w:p>
    <w:p w:rsidR="0046099E" w:rsidRPr="0046099E" w:rsidRDefault="0046099E" w:rsidP="007A24E7">
      <w:pPr>
        <w:suppressAutoHyphens w:val="0"/>
        <w:spacing w:after="0" w:line="240" w:lineRule="auto"/>
        <w:ind w:firstLine="708"/>
        <w:jc w:val="center"/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</w:pPr>
    </w:p>
    <w:p w:rsidR="00AF08B3" w:rsidRPr="008D18A5" w:rsidRDefault="00F46553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912BA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Направления развития внутригородского муниципальног</w:t>
      </w:r>
      <w:r w:rsidR="00912BA6" w:rsidRPr="00912BA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о образования города Севастополя Качинский муниципальный округ на очередной </w:t>
      </w:r>
      <w:r w:rsidR="00326A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202</w:t>
      </w:r>
      <w:r w:rsidR="00B3379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AE55E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912BA6" w:rsidRPr="00912BA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финан</w:t>
      </w:r>
      <w:r w:rsidR="00326A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совый год и плановый период 202</w:t>
      </w:r>
      <w:r w:rsidR="00B3379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912BA6" w:rsidRPr="00912BA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B3379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912BA6" w:rsidRPr="00912BA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 определены федеральной целевой программой “Социально-экономическое </w:t>
      </w:r>
      <w:r w:rsidR="00E2289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развитие Республики Крым и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города Севастополь до 202</w:t>
      </w:r>
      <w:r w:rsidR="00E2289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года”, утвержденной постановление Правительства Российской Федерации от 11 августа 2014 года № 790</w:t>
      </w:r>
      <w:r w:rsidR="00E2289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(с изменениями</w:t>
      </w:r>
      <w:r w:rsidR="000F704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)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постановлением Правительс</w:t>
      </w:r>
      <w:r w:rsidR="00E927E1" w:rsidRPr="00E927E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т</w:t>
      </w:r>
      <w:r w:rsidR="000F704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ва Севастополя от</w:t>
      </w:r>
      <w:r w:rsidR="00326A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14 октября 2019 года № 578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-ПП “О прогнозе социального развития города Севастополя на</w:t>
      </w:r>
      <w:r w:rsidR="00E927E1" w:rsidRPr="00E927E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20</w:t>
      </w:r>
      <w:r w:rsidR="00326A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20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планов</w:t>
      </w:r>
      <w:r w:rsidR="000F704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ый период 202</w:t>
      </w:r>
      <w:r w:rsidR="00326A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0F704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326A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</w:t>
      </w:r>
      <w:r w:rsidR="00326A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на период 2023 и 2024 годов</w:t>
      </w:r>
      <w:r w:rsidR="008D18A5" w:rsidRPr="008D18A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”</w:t>
      </w:r>
      <w:r w:rsidR="00E927E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Прогноз социально-экономического развития 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внутригородского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муниципального образования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города Севастополя Качинский муниципальный округ</w:t>
      </w:r>
      <w:r w:rsidR="003B40D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</w:t>
      </w:r>
      <w:r w:rsidR="00A76C3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</w:t>
      </w:r>
      <w:r w:rsidR="00A76C3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187042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202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разработан в соответствии с Бюджетным кодексом Российской Федерации, Уставом </w:t>
      </w:r>
      <w:r w:rsidR="008C26F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</w:t>
      </w:r>
      <w:r w:rsidR="00CD5D6D" w:rsidRPr="00CD5D6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муниципальных программ Качинского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46099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Разработан на основе основных параметров прогноза социально-экономического развития города Севастополя на текущий и плановый период, данных Управления Федеральной </w:t>
      </w:r>
      <w:r w:rsidR="004B76C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службы государственной статистики по Республике Крым и городу Севастополю, ежегодного доклада Главы местной администрации Качинского муниципального округа</w:t>
      </w:r>
      <w:r w:rsidR="007A24E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 достигнутых значениях показателей для оценки эффективности деятельности органов местного самоуправления.</w:t>
      </w:r>
    </w:p>
    <w:p w:rsidR="003B40DE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Целью прогноза социально-экономического развития муниципального образования </w:t>
      </w:r>
      <w:r w:rsidR="00193CF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</w:t>
      </w:r>
      <w:r w:rsidR="00E01BE6" w:rsidRP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оче</w:t>
      </w:r>
      <w:r w:rsidR="00734334" w:rsidRPr="0073433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ре</w:t>
      </w:r>
      <w:r w:rsidR="00E01BE6" w:rsidRP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дной финансовый </w:t>
      </w:r>
      <w:r w:rsidR="00545FC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</w:t>
      </w:r>
      <w:r w:rsidR="003356B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</w:t>
      </w:r>
      <w:r w:rsid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</w:t>
      </w:r>
      <w:r w:rsidR="003356B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r w:rsidR="00E01BE6" w:rsidRPr="00E01BE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B3379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является определение основных направлений деятельности органов местного самоуправления, предприятий, расположенных на территории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способствующих обеспечению устойчивого функционирования экономики, повышению экономической активности, создание нормальных условий жизни населения и дальнейшего социально-экономического развития </w:t>
      </w:r>
      <w:r w:rsidR="00670B1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города Севастополя Качинский муниципальный округ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 </w:t>
      </w:r>
    </w:p>
    <w:p w:rsidR="005E169D" w:rsidRPr="00F44930" w:rsidRDefault="005E169D" w:rsidP="005E169D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Территория внутригородского муниципального образования города Севастополя Качинский муниципальный округ определена в границах, утвержденных законом города Севастополя от 02.06.2004 г. №17-ЗС «Об установлении границ и статусе муниципальных образований в городе Севастополе».</w:t>
      </w:r>
    </w:p>
    <w:p w:rsidR="005E169D" w:rsidRPr="00F44930" w:rsidRDefault="005E169D" w:rsidP="005E169D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состав территории муниципального округа входят следующие населенные пункты: </w:t>
      </w:r>
    </w:p>
    <w:p w:rsidR="005E169D" w:rsidRPr="00F44930" w:rsidRDefault="005E169D" w:rsidP="005E169D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>- село Вишневое</w:t>
      </w:r>
    </w:p>
    <w:p w:rsidR="005E169D" w:rsidRPr="00F44930" w:rsidRDefault="005E169D" w:rsidP="005E169D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село Полюшко</w:t>
      </w:r>
    </w:p>
    <w:p w:rsidR="005E169D" w:rsidRPr="00F44930" w:rsidRDefault="005E169D" w:rsidP="005E169D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село Орловка</w:t>
      </w:r>
    </w:p>
    <w:p w:rsidR="005E169D" w:rsidRPr="00F44930" w:rsidRDefault="005E169D" w:rsidP="005E169D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- село Осипенко</w:t>
      </w:r>
    </w:p>
    <w:p w:rsidR="005E169D" w:rsidRPr="00F44930" w:rsidRDefault="005E169D" w:rsidP="005E169D">
      <w:pPr>
        <w:tabs>
          <w:tab w:val="left" w:pos="7371"/>
        </w:tabs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- поселок </w:t>
      </w:r>
      <w:proofErr w:type="spellStart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Кача</w:t>
      </w:r>
      <w:proofErr w:type="spellEnd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5E169D" w:rsidRDefault="005E169D" w:rsidP="005E169D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Административным центром является поселок городского типа </w:t>
      </w:r>
      <w:proofErr w:type="spellStart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Кача</w:t>
      </w:r>
      <w:proofErr w:type="spellEnd"/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. На территории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по состоянию </w:t>
      </w:r>
      <w:r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 01.01.20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20</w:t>
      </w:r>
      <w:r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г. проживает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8849</w:t>
      </w:r>
      <w:r w:rsidRPr="008B7E2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человек.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</w:p>
    <w:p w:rsidR="005E169D" w:rsidRPr="00F44930" w:rsidRDefault="005E169D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5E169D" w:rsidRDefault="00073099" w:rsidP="005E169D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Приоритеты развития ориентированы на улучшение показателей социального и увеличение экономического развития муниципального образования.</w:t>
      </w:r>
    </w:p>
    <w:p w:rsidR="00A44867" w:rsidRDefault="00F21872" w:rsidP="00A44867">
      <w:pPr>
        <w:pStyle w:val="a7"/>
        <w:spacing w:before="0" w:beforeAutospacing="0" w:after="0" w:afterAutospacing="0" w:line="270" w:lineRule="atLeast"/>
        <w:ind w:firstLine="708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</w:rPr>
        <w:t>В соответствии с письмом Департамента финансов города Севастополя от 18.08.2020 № 3435/01-14-07-45/03/20 индекс потребительских цен социально-экономического развития города Севастополя на 2021 год и плановый период 2022 и 20223 годов</w:t>
      </w:r>
      <w:r w:rsidR="00AC4FAF">
        <w:rPr>
          <w:rFonts w:ascii="Book Antiqua" w:hAnsi="Book Antiqua"/>
          <w:color w:val="000000" w:themeColor="text1"/>
        </w:rPr>
        <w:t xml:space="preserve"> составляет: для 2021 года – 103,6; для 2022 года 104,0; для 2023 года – 104,0.</w:t>
      </w:r>
      <w:r w:rsidR="004D0C29" w:rsidRPr="00F44930">
        <w:rPr>
          <w:rFonts w:ascii="Book Antiqua" w:hAnsi="Book Antiqua"/>
          <w:color w:val="000000" w:themeColor="text1"/>
        </w:rPr>
        <w:br/>
      </w:r>
      <w:r w:rsidR="004D0C29" w:rsidRPr="00F44930">
        <w:rPr>
          <w:rFonts w:ascii="Book Antiqua" w:hAnsi="Book Antiqua"/>
          <w:color w:val="000000" w:themeColor="text1"/>
        </w:rPr>
        <w:br/>
      </w:r>
      <w:r w:rsidR="00E52944">
        <w:rPr>
          <w:rFonts w:ascii="Book Antiqua" w:hAnsi="Book Antiqua"/>
          <w:color w:val="000000" w:themeColor="text1"/>
          <w:shd w:val="clear" w:color="auto" w:fill="FFFFFF"/>
        </w:rPr>
        <w:t xml:space="preserve">     </w:t>
      </w:r>
      <w:r w:rsidR="004D0C29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В </w:t>
      </w:r>
      <w:r w:rsidR="000C3AA1" w:rsidRPr="000C3AA1">
        <w:rPr>
          <w:rFonts w:ascii="Book Antiqua" w:hAnsi="Book Antiqua"/>
          <w:color w:val="000000" w:themeColor="text1"/>
          <w:shd w:val="clear" w:color="auto" w:fill="FFFFFF"/>
        </w:rPr>
        <w:t xml:space="preserve">очередном финансовом </w:t>
      </w:r>
      <w:r w:rsidR="004D0C29" w:rsidRPr="00F44930">
        <w:rPr>
          <w:rFonts w:ascii="Book Antiqua" w:hAnsi="Book Antiqua"/>
          <w:color w:val="000000" w:themeColor="text1"/>
          <w:shd w:val="clear" w:color="auto" w:fill="FFFFFF"/>
        </w:rPr>
        <w:t>20</w:t>
      </w:r>
      <w:r w:rsidR="00D05389">
        <w:rPr>
          <w:rFonts w:ascii="Book Antiqua" w:hAnsi="Book Antiqua"/>
          <w:color w:val="000000" w:themeColor="text1"/>
          <w:shd w:val="clear" w:color="auto" w:fill="FFFFFF"/>
        </w:rPr>
        <w:t>21</w:t>
      </w:r>
      <w:r w:rsidR="000C3AA1" w:rsidRPr="000C3AA1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CC08B8">
        <w:rPr>
          <w:rFonts w:ascii="Book Antiqua" w:hAnsi="Book Antiqua"/>
          <w:color w:val="000000" w:themeColor="text1"/>
          <w:shd w:val="clear" w:color="auto" w:fill="FFFFFF"/>
        </w:rPr>
        <w:t>году и плановом периоде 202</w:t>
      </w:r>
      <w:r w:rsidR="00D05389">
        <w:rPr>
          <w:rFonts w:ascii="Book Antiqua" w:hAnsi="Book Antiqua"/>
          <w:color w:val="000000" w:themeColor="text1"/>
          <w:shd w:val="clear" w:color="auto" w:fill="FFFFFF"/>
        </w:rPr>
        <w:t>2</w:t>
      </w:r>
      <w:r w:rsidR="000C3AA1" w:rsidRPr="000C3AA1">
        <w:rPr>
          <w:rFonts w:ascii="Book Antiqua" w:hAnsi="Book Antiqua"/>
          <w:color w:val="000000" w:themeColor="text1"/>
          <w:shd w:val="clear" w:color="auto" w:fill="FFFFFF"/>
        </w:rPr>
        <w:t xml:space="preserve"> и 202</w:t>
      </w:r>
      <w:r w:rsidR="00D05389">
        <w:rPr>
          <w:rFonts w:ascii="Book Antiqua" w:hAnsi="Book Antiqua"/>
          <w:color w:val="000000" w:themeColor="text1"/>
          <w:shd w:val="clear" w:color="auto" w:fill="FFFFFF"/>
        </w:rPr>
        <w:t>3</w:t>
      </w:r>
      <w:r w:rsidR="004D0C29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 годов по </w:t>
      </w:r>
      <w:r w:rsidR="00670B1A" w:rsidRPr="00F44930">
        <w:rPr>
          <w:rFonts w:ascii="Book Antiqua" w:hAnsi="Book Antiqua"/>
          <w:color w:val="000000" w:themeColor="text1"/>
          <w:shd w:val="clear" w:color="auto" w:fill="FFFFFF"/>
        </w:rPr>
        <w:t xml:space="preserve">муниципальному округу </w:t>
      </w:r>
      <w:r w:rsidR="004D0C29" w:rsidRPr="00F44930">
        <w:rPr>
          <w:rFonts w:ascii="Book Antiqua" w:hAnsi="Book Antiqua"/>
          <w:color w:val="000000" w:themeColor="text1"/>
          <w:shd w:val="clear" w:color="auto" w:fill="FFFFFF"/>
        </w:rPr>
        <w:t>прогнозируется следующий объём поступлений доходов</w:t>
      </w:r>
      <w:r w:rsidR="007A4B58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4D0C29" w:rsidRPr="00F44930">
        <w:rPr>
          <w:rFonts w:ascii="Book Antiqua" w:hAnsi="Book Antiqua"/>
          <w:color w:val="000000" w:themeColor="text1"/>
          <w:shd w:val="clear" w:color="auto" w:fill="FFFFFF"/>
        </w:rPr>
        <w:t>в</w:t>
      </w:r>
      <w:r w:rsidR="00A44867">
        <w:rPr>
          <w:rFonts w:ascii="Book Antiqua" w:hAnsi="Book Antiqua"/>
          <w:color w:val="000000" w:themeColor="text1"/>
          <w:shd w:val="clear" w:color="auto" w:fill="FFFFFF"/>
        </w:rPr>
        <w:t xml:space="preserve"> </w:t>
      </w:r>
      <w:r w:rsidR="004D0C29" w:rsidRPr="00F44930">
        <w:rPr>
          <w:rFonts w:ascii="Book Antiqua" w:hAnsi="Book Antiqua"/>
          <w:color w:val="000000" w:themeColor="text1"/>
          <w:shd w:val="clear" w:color="auto" w:fill="FFFFFF"/>
        </w:rPr>
        <w:t>бюджет: </w:t>
      </w:r>
    </w:p>
    <w:p w:rsidR="00A44867" w:rsidRDefault="00A44867" w:rsidP="00A44867">
      <w:pPr>
        <w:pStyle w:val="a7"/>
        <w:spacing w:before="0" w:beforeAutospacing="0" w:after="0" w:afterAutospacing="0" w:line="270" w:lineRule="atLeast"/>
        <w:ind w:firstLine="708"/>
        <w:rPr>
          <w:rFonts w:ascii="Book Antiqua" w:hAnsi="Book Antiqua"/>
          <w:color w:val="000000" w:themeColor="text1"/>
          <w:shd w:val="clear" w:color="auto" w:fill="FFFFFF"/>
        </w:rPr>
      </w:pPr>
    </w:p>
    <w:p w:rsidR="00BF534D" w:rsidRDefault="00A44867" w:rsidP="00BF534D">
      <w:pPr>
        <w:pStyle w:val="a7"/>
        <w:spacing w:before="0" w:beforeAutospacing="0" w:after="0" w:afterAutospacing="0" w:line="270" w:lineRule="atLeast"/>
        <w:ind w:firstLine="709"/>
        <w:rPr>
          <w:rFonts w:ascii="Book Antiqua" w:hAnsi="Book Antiqua"/>
          <w:color w:val="000000" w:themeColor="text1"/>
          <w:shd w:val="clear" w:color="auto" w:fill="FFFFFF"/>
        </w:rPr>
      </w:pPr>
      <w:r>
        <w:rPr>
          <w:rFonts w:ascii="Book Antiqua" w:hAnsi="Book Antiqua"/>
          <w:color w:val="000000" w:themeColor="text1"/>
          <w:shd w:val="clear" w:color="auto" w:fill="FFFFFF"/>
        </w:rPr>
        <w:t>Доходы:</w:t>
      </w:r>
    </w:p>
    <w:p w:rsidR="00803EF0" w:rsidRDefault="00803EF0" w:rsidP="00BF534D">
      <w:pPr>
        <w:pStyle w:val="a7"/>
        <w:spacing w:before="0" w:beforeAutospacing="0" w:after="0" w:afterAutospacing="0" w:line="270" w:lineRule="atLeast"/>
        <w:ind w:firstLine="709"/>
        <w:rPr>
          <w:rFonts w:ascii="Book Antiqua" w:hAnsi="Book Antiqua"/>
          <w:b/>
          <w:bCs/>
          <w:color w:val="000000" w:themeColor="text1"/>
        </w:rPr>
      </w:pPr>
      <w:r>
        <w:rPr>
          <w:rFonts w:ascii="Book Antiqua" w:hAnsi="Book Antiqua"/>
          <w:b/>
          <w:bCs/>
          <w:color w:val="000000" w:themeColor="text1"/>
        </w:rPr>
        <w:t xml:space="preserve">Объём поступлений доходов в бюджет внутригородского муниципального образования города Севастополя Качинский муниципальный округ в </w:t>
      </w:r>
      <w:r w:rsidR="00E43354" w:rsidRPr="00E43354">
        <w:rPr>
          <w:rFonts w:ascii="Book Antiqua" w:hAnsi="Book Antiqua"/>
          <w:b/>
          <w:bCs/>
          <w:color w:val="000000" w:themeColor="text1"/>
        </w:rPr>
        <w:t xml:space="preserve">очередном финансовом </w:t>
      </w:r>
      <w:r w:rsidR="00D05389">
        <w:rPr>
          <w:rFonts w:ascii="Book Antiqua" w:hAnsi="Book Antiqua"/>
          <w:b/>
          <w:bCs/>
          <w:color w:val="000000" w:themeColor="text1"/>
        </w:rPr>
        <w:t>2021</w:t>
      </w:r>
      <w:r w:rsidR="007D4C6D">
        <w:rPr>
          <w:rFonts w:ascii="Book Antiqua" w:hAnsi="Book Antiqua"/>
          <w:b/>
          <w:bCs/>
          <w:color w:val="000000" w:themeColor="text1"/>
        </w:rPr>
        <w:t xml:space="preserve"> го</w:t>
      </w:r>
      <w:r w:rsidR="00D05389">
        <w:rPr>
          <w:rFonts w:ascii="Book Antiqua" w:hAnsi="Book Antiqua"/>
          <w:b/>
          <w:bCs/>
          <w:color w:val="000000" w:themeColor="text1"/>
        </w:rPr>
        <w:t>ду и плановом периоде 2022</w:t>
      </w:r>
      <w:r w:rsidR="000411A7">
        <w:rPr>
          <w:rFonts w:ascii="Book Antiqua" w:hAnsi="Book Antiqua"/>
          <w:b/>
          <w:bCs/>
          <w:color w:val="000000" w:themeColor="text1"/>
        </w:rPr>
        <w:t xml:space="preserve"> и 202</w:t>
      </w:r>
      <w:r w:rsidR="00D05389">
        <w:rPr>
          <w:rFonts w:ascii="Book Antiqua" w:hAnsi="Book Antiqua"/>
          <w:b/>
          <w:bCs/>
          <w:color w:val="000000" w:themeColor="text1"/>
        </w:rPr>
        <w:t>3</w:t>
      </w:r>
      <w:r>
        <w:rPr>
          <w:rFonts w:ascii="Book Antiqua" w:hAnsi="Book Antiqua"/>
          <w:b/>
          <w:bCs/>
          <w:color w:val="000000" w:themeColor="text1"/>
        </w:rPr>
        <w:t xml:space="preserve"> годов:</w:t>
      </w:r>
    </w:p>
    <w:p w:rsidR="00803EF0" w:rsidRDefault="00803EF0" w:rsidP="007A24E7">
      <w:pPr>
        <w:suppressAutoHyphens w:val="0"/>
        <w:spacing w:after="0" w:line="240" w:lineRule="auto"/>
        <w:ind w:firstLine="708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tbl>
      <w:tblPr>
        <w:tblStyle w:val="a8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4106"/>
        <w:gridCol w:w="1418"/>
        <w:gridCol w:w="1560"/>
        <w:gridCol w:w="1280"/>
        <w:gridCol w:w="1134"/>
        <w:gridCol w:w="1134"/>
      </w:tblGrid>
      <w:tr w:rsidR="00803EF0" w:rsidTr="00A44867">
        <w:trPr>
          <w:trHeight w:val="170"/>
          <w:jc w:val="center"/>
        </w:trPr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Показатели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Ед. изм.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Pr="000411A7" w:rsidRDefault="00936018" w:rsidP="00A44867">
            <w:pPr>
              <w:suppressAutoHyphens w:val="0"/>
              <w:spacing w:after="0" w:line="240" w:lineRule="auto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исполнено</w:t>
            </w:r>
            <w:r w:rsidR="00803EF0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0411A7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по состоянию</w:t>
            </w:r>
            <w:r w:rsidR="007D4C6D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 xml:space="preserve"> на 01.1</w:t>
            </w:r>
            <w:r w:rsidR="00BB6011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1</w:t>
            </w:r>
            <w:r w:rsidR="007D4C6D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.20</w:t>
            </w:r>
            <w:r w:rsidR="00D05389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прогноз</w:t>
            </w:r>
          </w:p>
        </w:tc>
      </w:tr>
      <w:tr w:rsidR="00803EF0" w:rsidTr="00A44867">
        <w:trPr>
          <w:trHeight w:val="170"/>
          <w:jc w:val="center"/>
        </w:trPr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D05389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D05389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E4335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202</w:t>
            </w:r>
            <w:r w:rsidR="00D05389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3</w:t>
            </w:r>
          </w:p>
        </w:tc>
      </w:tr>
      <w:tr w:rsidR="00803EF0" w:rsidTr="00A44867">
        <w:trPr>
          <w:trHeight w:val="1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Налоговые</w:t>
            </w:r>
            <w:r w:rsidR="00AB0D16"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и неналоговые</w:t>
            </w: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 xml:space="preserve"> доходы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  <w:r w:rsidR="00AB0D16" w:rsidRPr="00AB0D16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Pr="00A44867" w:rsidRDefault="00803EF0" w:rsidP="00A44867">
            <w:pPr>
              <w:suppressAutoHyphens w:val="0"/>
              <w:spacing w:after="0" w:line="240" w:lineRule="auto"/>
              <w:jc w:val="both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A44867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EF0" w:rsidRDefault="006E3A3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15</w:t>
            </w:r>
            <w:r w:rsidR="006F5744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1012,0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1021,0</w:t>
            </w:r>
          </w:p>
        </w:tc>
      </w:tr>
      <w:tr w:rsidR="00803EF0" w:rsidTr="00A44867">
        <w:trPr>
          <w:trHeight w:val="1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7A24E7">
            <w:pPr>
              <w:suppressAutoHyphens w:val="0"/>
              <w:spacing w:after="0" w:line="45" w:lineRule="atLeast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Налог на доходы физических лиц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A44867" w:rsidP="00A44867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 w:rsidRPr="00A44867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F574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45" w:lineRule="atLeast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443,</w:t>
            </w:r>
            <w:r w:rsidR="007D4C6D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45" w:lineRule="atLeast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46</w:t>
            </w:r>
            <w:r w:rsidR="009A0E8B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45" w:lineRule="atLeast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481</w:t>
            </w:r>
            <w:r w:rsidR="009A0E8B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,0</w:t>
            </w:r>
          </w:p>
        </w:tc>
      </w:tr>
      <w:tr w:rsidR="00803EF0" w:rsidTr="00A44867">
        <w:trPr>
          <w:trHeight w:val="1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Pr="00A44867" w:rsidRDefault="00803EF0" w:rsidP="007A24E7">
            <w:pPr>
              <w:suppressAutoHyphens w:val="0"/>
              <w:spacing w:after="0" w:line="45" w:lineRule="atLeast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lang w:eastAsia="ru-RU"/>
              </w:rPr>
            </w:pPr>
            <w:r w:rsidRPr="00A44867">
              <w:rPr>
                <w:rFonts w:ascii="Book Antiqua" w:eastAsia="Times New Roman" w:hAnsi="Book Antiqua" w:cs="Times New Roman"/>
                <w:color w:val="000000" w:themeColor="text1"/>
                <w:kern w:val="0"/>
                <w:lang w:eastAsia="ru-RU"/>
              </w:rPr>
              <w:t>Налог, взымаемый в связи с применением патентной системы налогообложения, зачисляемый в бюджеты городов федерального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A44867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EF0" w:rsidRDefault="006F5744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1063,2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F5744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556,0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F5744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546</w:t>
            </w:r>
            <w:r w:rsidR="009A0E8B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Default="006F5744" w:rsidP="00A44867">
            <w:pPr>
              <w:suppressAutoHyphens w:val="0"/>
              <w:spacing w:after="0" w:line="45" w:lineRule="atLeast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540</w:t>
            </w:r>
            <w:r w:rsidR="009A0E8B"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,0</w:t>
            </w:r>
          </w:p>
        </w:tc>
      </w:tr>
      <w:tr w:rsidR="00803EF0" w:rsidTr="00A44867">
        <w:trPr>
          <w:trHeight w:val="1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7A24E7">
            <w:pPr>
              <w:suppressAutoHyphens w:val="0"/>
              <w:spacing w:after="0" w:line="240" w:lineRule="auto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Безвозмездные поступления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A44867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EF0" w:rsidRPr="006E3A34" w:rsidRDefault="00803EF0" w:rsidP="00A4486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br/>
            </w:r>
            <w:r w:rsidR="006F5744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20407,8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46036,1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44236,7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9A0E8B" w:rsidP="00A44867">
            <w:pPr>
              <w:suppressAutoHyphens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  <w:r w:rsidR="006F5744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46</w:t>
            </w: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  <w:r w:rsidR="006F5744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</w:t>
            </w: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,</w:t>
            </w:r>
            <w:r w:rsidR="006F5744"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1</w:t>
            </w:r>
          </w:p>
        </w:tc>
      </w:tr>
      <w:tr w:rsidR="00803EF0" w:rsidTr="00A44867">
        <w:trPr>
          <w:trHeight w:val="1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7A24E7">
            <w:pPr>
              <w:suppressAutoHyphens w:val="0"/>
              <w:spacing w:after="0" w:line="30" w:lineRule="atLeast"/>
              <w:ind w:firstLine="708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bCs/>
                <w:color w:val="000000" w:themeColor="text1"/>
                <w:kern w:val="0"/>
                <w:sz w:val="24"/>
                <w:szCs w:val="24"/>
                <w:lang w:eastAsia="ru-RU"/>
              </w:rPr>
              <w:t>Всего доходов</w:t>
            </w: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EF0" w:rsidRDefault="00803EF0" w:rsidP="00A44867">
            <w:pPr>
              <w:suppressAutoHyphens w:val="0"/>
              <w:spacing w:after="0" w:line="45" w:lineRule="atLeast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3A34" w:rsidRDefault="006E3A34" w:rsidP="00A44867">
            <w:pPr>
              <w:suppressAutoHyphens w:val="0"/>
              <w:spacing w:after="0" w:line="30" w:lineRule="atLeast"/>
              <w:ind w:firstLine="708"/>
              <w:jc w:val="center"/>
              <w:rPr>
                <w:rFonts w:ascii="Book Antiqua" w:eastAsia="Times New Roman" w:hAnsi="Book Antiqua" w:cs="Times New Roman"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Pr="006E3A34" w:rsidRDefault="006F5744" w:rsidP="00A44867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21927,2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30" w:lineRule="atLeast"/>
              <w:ind w:firstLine="708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47035,1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30" w:lineRule="atLeast"/>
              <w:ind w:firstLine="708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45248,7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F0" w:rsidRDefault="00803EF0" w:rsidP="00A44867">
            <w:pPr>
              <w:suppressAutoHyphens w:val="0"/>
              <w:spacing w:after="0" w:line="30" w:lineRule="atLeast"/>
              <w:ind w:firstLine="708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A44867" w:rsidRDefault="00A44867" w:rsidP="00A44867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</w:p>
          <w:p w:rsidR="00803EF0" w:rsidRDefault="006F5744" w:rsidP="00A44867">
            <w:pPr>
              <w:suppressAutoHyphens w:val="0"/>
              <w:spacing w:after="0" w:line="30" w:lineRule="atLeast"/>
              <w:jc w:val="center"/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</w:pPr>
            <w:r>
              <w:rPr>
                <w:rFonts w:ascii="Book Antiqua" w:eastAsia="Times New Roman" w:hAnsi="Book Antiqua" w:cs="Times New Roman"/>
                <w:b/>
                <w:color w:val="000000" w:themeColor="text1"/>
                <w:kern w:val="0"/>
                <w:sz w:val="24"/>
                <w:szCs w:val="24"/>
                <w:lang w:eastAsia="ru-RU"/>
              </w:rPr>
              <w:t>45635,1</w:t>
            </w:r>
          </w:p>
        </w:tc>
      </w:tr>
    </w:tbl>
    <w:p w:rsidR="004D0C29" w:rsidRPr="00F44930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4D0C29" w:rsidRPr="00F44930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lastRenderedPageBreak/>
        <w:t xml:space="preserve">Основными источниками формирования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местного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бюджета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являются </w:t>
      </w:r>
      <w:r w:rsidR="00DF64F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безвозмездные поступления от других бюджетов бюджетной системы Российской Федерации: </w:t>
      </w:r>
      <w:r w:rsidR="003D666A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дотации на выравнивание бюджетной обеспеченности</w:t>
      </w:r>
      <w:r w:rsidR="00D971C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и субвенции местным бюджетам на выполнение передаваемых полномочий субъектов Российской Федерации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</w:p>
    <w:p w:rsidR="004D0C29" w:rsidRPr="00F44930" w:rsidRDefault="00C1037E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 на д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оходы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формируется за счет налога на доходы </w:t>
      </w:r>
      <w:r w:rsidR="003951BB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физических лиц по нормативу отчислений 0,2 %.</w:t>
      </w:r>
    </w:p>
    <w:p w:rsidR="003951BB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 на доходы физических лиц рассчитана в соответствии с главой 23 «Налог на доходы физических лиц» части второй Налогового кодекса Российской Федерации, исходя из прогнозируемого фонда оплаты труда по 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муниципальному округу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с учетом темпов роста заработной платы. Поступление н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алога на доходы физических лиц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20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21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ожидается 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443</w:t>
      </w:r>
      <w:r w:rsidR="006E3A3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в 2022</w:t>
      </w:r>
      <w:r w:rsidR="00D971C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– 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46</w:t>
      </w:r>
      <w:r w:rsidR="006E3A3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6,0</w:t>
      </w:r>
      <w:r w:rsidR="008444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в 202</w:t>
      </w:r>
      <w:r w:rsidR="006E3A3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r w:rsidR="008444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481</w:t>
      </w:r>
      <w:r w:rsidR="006E3A3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,0</w:t>
      </w:r>
      <w:r w:rsidR="00D971C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A6156E" w:rsidRDefault="00A6156E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Налог, взымаемый в связи с применением патентной системы налогообложения, зачисляемый в бюджеты городов федерального значения по нормативу отчисления 100%.</w:t>
      </w:r>
    </w:p>
    <w:p w:rsidR="00A6156E" w:rsidRPr="00F44930" w:rsidRDefault="00A6156E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Сумма поступлений налога, взымаемого в связи с применением патентной системы налогообложения, зачисляемого в бюджеты городов федерального значения </w:t>
      </w:r>
      <w:r w:rsidR="008444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20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21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году,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ожидается</w:t>
      </w:r>
      <w:r w:rsidR="008453A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в размере 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556</w:t>
      </w:r>
      <w:r w:rsidR="00A9743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,0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рублей, в 2022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–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546,0 тыс. рублей, в 2023</w:t>
      </w:r>
      <w:r w:rsidR="00E07E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– </w:t>
      </w:r>
      <w:r w:rsidR="006F574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540</w:t>
      </w:r>
      <w:r w:rsidR="00A9743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,0</w:t>
      </w:r>
      <w:r w:rsidR="009D68F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3951BB" w:rsidRPr="00F44930" w:rsidRDefault="006F5744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бюджете на 2021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 на плановый период 2022 и 2023</w:t>
      </w:r>
      <w:r w:rsidR="00A9743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годов 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запланиро</w:t>
      </w:r>
      <w:r w:rsidR="00E5365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ваны безвозмездные поступления</w:t>
      </w:r>
      <w:r w:rsidR="004D0C29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: из них дотации на выравнивание уровня бюджетной обеспеченности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10724,8</w:t>
      </w:r>
      <w:r w:rsidR="00A9743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03EF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лей, на 20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21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</w:t>
      </w:r>
      <w:r w:rsidR="005038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8925,4</w:t>
      </w:r>
      <w:r w:rsidR="007904D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5038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</w:t>
      </w:r>
      <w:r w:rsidR="007904D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202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2 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год </w:t>
      </w:r>
      <w:r w:rsidR="005038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и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9302,8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2023</w:t>
      </w:r>
      <w:r w:rsidR="005038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</w:t>
      </w:r>
      <w:r w:rsidR="004F755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субвенции местным бюджетам на выполнение п</w:t>
      </w:r>
      <w:r w:rsidR="00C1401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ередаваемых полномочий субъектов Российской Федерации на 20</w:t>
      </w:r>
      <w:r w:rsidR="007904D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</w:t>
      </w:r>
      <w:r w:rsidR="00CB38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</w:t>
      </w:r>
      <w:r w:rsidR="003427A9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– </w:t>
      </w:r>
      <w:r w:rsidR="00CB38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35311,3 тыс. рублей, на 2022</w:t>
      </w:r>
      <w:r w:rsidR="00C1401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– </w:t>
      </w:r>
      <w:r w:rsidR="00CB38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35311,3</w:t>
      </w:r>
      <w:r w:rsidR="00C1401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202</w:t>
      </w:r>
      <w:r w:rsidR="00CB38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="001C7B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– </w:t>
      </w:r>
      <w:r w:rsidR="00CB38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35311,3</w:t>
      </w:r>
      <w:r w:rsidR="00C14011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</w:p>
    <w:p w:rsidR="004D0C29" w:rsidRPr="00F44930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  <w:r w:rsidRPr="00F44930">
        <w:rPr>
          <w:rFonts w:ascii="Book Antiqua" w:eastAsia="Times New Roman" w:hAnsi="Book Antiqua" w:cs="Times New Roman"/>
          <w:b/>
          <w:bCs/>
          <w:i/>
          <w:iCs/>
          <w:color w:val="000000" w:themeColor="text1"/>
          <w:kern w:val="0"/>
          <w:sz w:val="24"/>
          <w:szCs w:val="24"/>
          <w:lang w:eastAsia="ru-RU"/>
        </w:rPr>
        <w:t>Расходы</w:t>
      </w:r>
    </w:p>
    <w:p w:rsidR="004D0C29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Расходная часть бюджета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К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ачинского муниципального округа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сформирована исходя из ожидаемой оценки поступления доходных источников и средств, получаемых из местного и 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городского бюджетов. По прогнозу в 20</w:t>
      </w:r>
      <w:r w:rsidR="00CB38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21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расходы составят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CB381A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47035,1</w:t>
      </w:r>
      <w:r w:rsidRPr="00F44930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C1531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тыс. рублей</w:t>
      </w:r>
      <w:r w:rsidR="00C15317">
        <w:rPr>
          <w:rFonts w:ascii="Book Antiqua" w:eastAsia="Times New Roman" w:hAnsi="Book Antiqua" w:cs="Times New Roman"/>
          <w:b/>
          <w:bCs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="00E72B2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в 202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C15317" w:rsidRPr="00C1531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году- 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45248,7</w:t>
      </w:r>
      <w:r w:rsidR="000571F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рублей, в 202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C15317" w:rsidRPr="00C1531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 – 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45635,1</w:t>
      </w:r>
      <w:r w:rsidR="00C15317" w:rsidRPr="00C1531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тыс. рублей.</w:t>
      </w:r>
      <w:r w:rsidR="008644CF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Плани</w:t>
      </w:r>
      <w:r w:rsidR="00A57CB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рование на 20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21</w:t>
      </w:r>
      <w:r w:rsidR="008644CF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22</w:t>
      </w:r>
      <w:r w:rsidR="008644CF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8644CF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 расходов на содержание органов местного самоуправления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(</w:t>
      </w:r>
      <w:r w:rsidR="008644CF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кроме расходов по фонду оплаты труда) осуществляется в соответствии с основными параметрами прогноза социально-экономического развития в городе Севастополе.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Определение фонда оплаты труда органов</w:t>
      </w:r>
      <w:r w:rsidR="00A57CB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местного самоуправления на 20</w:t>
      </w:r>
      <w:r w:rsidR="000571F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1</w:t>
      </w:r>
      <w:r w:rsidR="000571F7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 и плановый период 202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 с учетом планируемого</w:t>
      </w:r>
      <w:r w:rsidR="00DA061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856752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изменения системы оплаты труда государственных служащих и </w:t>
      </w:r>
      <w:r w:rsidR="00DA0611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муниципальных служащих в соответствии с требованиями Правительства </w:t>
      </w:r>
      <w:r w:rsidR="00083F8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(писем Департамента </w:t>
      </w:r>
      <w:r w:rsidR="00083F8C" w:rsidRPr="00083F8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финансов </w:t>
      </w:r>
      <w:r w:rsidR="00083F8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города </w:t>
      </w:r>
      <w:r w:rsidR="00083F8C" w:rsidRPr="00083F8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Севастополя 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от 18 августа 2020 г. № 3435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/01-14-07-45/03/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20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, от 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8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августа 2020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г. № 35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95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/01-14-0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3-32/03/20, от 1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окт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ября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20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20 г.  № 4361/01-14-07-45/03/20</w:t>
      </w:r>
      <w:r w:rsidR="00083F8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DA0611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«О </w:t>
      </w:r>
      <w:r w:rsidR="00A57CBC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проекте бюджета на 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2021 год и на плановый период</w:t>
      </w:r>
      <w:r w:rsidR="002A63F5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2022 и 2023 </w:t>
      </w:r>
      <w:r w:rsidR="002A63F5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год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ов</w:t>
      </w:r>
      <w:r w:rsidR="002A63F5" w:rsidRP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»).</w:t>
      </w:r>
      <w:r w:rsidR="00663FE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Объем фонда заработной платы лиц, замещающих муниципальные должности и должности муниципальных служащих органов местного самоуправления рассчитываются исходя из среднего уровня ежегодного денежного содержания муниципальных служащих с учетом запланированной индексации окладов денежного содержания на 3,6% с 1 октября </w:t>
      </w:r>
      <w:r w:rsidR="00663FE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lastRenderedPageBreak/>
        <w:t>2021 года, на 4,0% с 1 октября 2022 года и на 4,0% с 1 октября 2023 года. Прочие текущие расходы индексируются в 2021 году на 3,6%, в 2022 году на 4,0%, в 2023 году на 4,0% в соответствии с данными Департамента экономики города Севастополя.</w:t>
      </w:r>
      <w:r w:rsidR="00BC0B56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Расходы на выплату заработной платы с начислениями техническим работникам, осуществляющих обеспечение деятельности органов местного самоуправления, с учетом индексации с 1 октября 2021 на 3,6% с 1 октября 2022 на 4,0% и с 1 октября 2023 года на 4,0%.</w:t>
      </w:r>
      <w:r w:rsidR="00BB1208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Нормативы минимальной бюджетной обеспеченности, применяемых для расчета минимальных расходов бюджетов по обеспечению полномочий по решению вопросов</w:t>
      </w:r>
      <w:r w:rsidR="00663FE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BB1208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местного значения внутригородских муниципальных образований города Севастополя для расчета объема дотации на выравнивание бюджетной обеспеченности, применяемых при расчетах дотаций на выравнивание бюджетной обеспеченности, передаваемых из бюджета города Севастополя.</w:t>
      </w:r>
      <w:r w:rsidR="002A63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Расходы на реализацию муниципальных программ ВМО Качинский МО учитываются в проекте местного бюджета с приложением соответствующих расчетов, пояснений и документов, подтверждающих не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обходимость их проведения в 2021</w:t>
      </w:r>
      <w:r w:rsidR="002A63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году и плановом периоде 20</w:t>
      </w:r>
      <w:r w:rsidR="00A57CBC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2</w:t>
      </w:r>
      <w:r w:rsidR="002A63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и 202</w:t>
      </w:r>
      <w:r w:rsidR="00CB381A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3</w:t>
      </w:r>
      <w:r w:rsidR="002A63F5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годов. Расходные обязательства могут возникать только в случае принятия муниципальных правовых актов по вопросам местного значения, которые в соответствии с Законами города Севастополя вправе решать органы местного самоуправления</w:t>
      </w:r>
      <w:r w:rsidR="00F23FEE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>, а также заключения ВМО Качинским МО договоров (соглашений) по данным вопросам. Эффективность бюджетных расходов обусловлена формированием и исполнением местного бюджета на основе муниципальных программ.</w:t>
      </w:r>
      <w:r w:rsidR="00F14B99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Задача по повышению прозрачности и открытости местного бюджета и бюджетного процесса для общества является одним из направлений бюджетной политики на ближайшие годы.</w:t>
      </w:r>
      <w:r w:rsidR="00BB1208"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  <w:t xml:space="preserve"> Вышеуказанная задача реализуется путем опубликования информации о бюджетных данных и правовых актов, связанных с бюджетным процессом на сайте внутригородского муниципального образования Качинский муниципальный округ. </w:t>
      </w:r>
    </w:p>
    <w:p w:rsidR="00663FEC" w:rsidRDefault="00663FEC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bCs/>
          <w:color w:val="000000" w:themeColor="text1"/>
          <w:kern w:val="0"/>
          <w:sz w:val="24"/>
          <w:szCs w:val="24"/>
          <w:lang w:eastAsia="ru-RU"/>
        </w:rPr>
      </w:pPr>
    </w:p>
    <w:p w:rsidR="00E163F0" w:rsidRDefault="00E163F0" w:rsidP="00BB1208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</w:p>
    <w:p w:rsidR="00E163F0" w:rsidRDefault="00E163F0" w:rsidP="007A24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</w:p>
    <w:p w:rsidR="00933D57" w:rsidRPr="00757051" w:rsidRDefault="00933D57" w:rsidP="007A24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  <w:r w:rsidRPr="00757051"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  <w:t xml:space="preserve">Распределение бюджетных ассигнований по главным распорядителям бюджетных средств, разделам, подразделам классификации расходов бюджетов по внутригородскому муниципальному образованию </w:t>
      </w:r>
      <w:r w:rsidRPr="00757051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города Севастополя Качинский муниципальный округ </w:t>
      </w:r>
    </w:p>
    <w:p w:rsidR="00933D57" w:rsidRPr="00757051" w:rsidRDefault="00E163F0" w:rsidP="007A24E7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Book Antiqua" w:eastAsia="Times New Roman" w:hAnsi="Book Antiqua" w:cs="Arial"/>
          <w:b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>на 20</w:t>
      </w:r>
      <w:r w:rsidR="00CB381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>21</w:t>
      </w:r>
      <w:r w:rsidR="00933D57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и плановый период 20</w:t>
      </w:r>
      <w:r w:rsidR="00CB381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>22</w:t>
      </w:r>
      <w:r w:rsidR="00933D57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и 202</w:t>
      </w:r>
      <w:r w:rsidR="00CB381A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>3</w:t>
      </w:r>
      <w:r w:rsidR="00933D57" w:rsidRPr="00757051">
        <w:rPr>
          <w:rFonts w:ascii="Book Antiqua" w:eastAsia="Times New Roman" w:hAnsi="Book Antiqua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годов</w:t>
      </w:r>
    </w:p>
    <w:tbl>
      <w:tblPr>
        <w:tblW w:w="10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5"/>
        <w:gridCol w:w="851"/>
        <w:gridCol w:w="992"/>
        <w:gridCol w:w="1276"/>
        <w:gridCol w:w="1271"/>
        <w:gridCol w:w="1048"/>
        <w:gridCol w:w="1248"/>
      </w:tblGrid>
      <w:tr w:rsidR="00933D57" w:rsidRPr="00757051" w:rsidTr="00CB381A">
        <w:trPr>
          <w:jc w:val="center"/>
        </w:trPr>
        <w:tc>
          <w:tcPr>
            <w:tcW w:w="3685" w:type="dxa"/>
            <w:vMerge w:val="restart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vMerge w:val="restart"/>
            <w:shd w:val="clear" w:color="auto" w:fill="auto"/>
          </w:tcPr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</w:t>
            </w:r>
            <w:r w:rsidR="00CB381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чередной 2021</w:t>
            </w:r>
            <w:r w:rsidR="00933D57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933D57" w:rsidRPr="00757051" w:rsidTr="00CB381A">
        <w:trPr>
          <w:jc w:val="center"/>
        </w:trPr>
        <w:tc>
          <w:tcPr>
            <w:tcW w:w="3685" w:type="dxa"/>
            <w:vMerge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933D57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54103" w:rsidRDefault="00354103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54103" w:rsidRPr="003A6D2A" w:rsidRDefault="00354103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код главы</w:t>
            </w:r>
          </w:p>
        </w:tc>
        <w:tc>
          <w:tcPr>
            <w:tcW w:w="992" w:type="dxa"/>
            <w:shd w:val="clear" w:color="auto" w:fill="auto"/>
          </w:tcPr>
          <w:p w:rsidR="00354103" w:rsidRDefault="00354103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54103" w:rsidRDefault="00354103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354103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</w:t>
            </w:r>
            <w:r w:rsidR="00933D57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аздел</w:t>
            </w:r>
          </w:p>
        </w:tc>
        <w:tc>
          <w:tcPr>
            <w:tcW w:w="1276" w:type="dxa"/>
          </w:tcPr>
          <w:p w:rsidR="00354103" w:rsidRDefault="00354103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354103" w:rsidRDefault="00354103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1" w:type="dxa"/>
            <w:vMerge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593733" w:rsidRDefault="00593733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93733" w:rsidRDefault="00593733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CB381A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2022</w:t>
            </w:r>
            <w:r w:rsidR="00933D57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248" w:type="dxa"/>
            <w:shd w:val="clear" w:color="auto" w:fill="auto"/>
          </w:tcPr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593733" w:rsidRDefault="00593733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59373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202</w:t>
            </w:r>
            <w:r w:rsidR="00CB381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933D57" w:rsidRPr="00757051" w:rsidTr="00CB381A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ВСЕГО РАСХОДЫ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:rsidR="00933D57" w:rsidRPr="003A6D2A" w:rsidRDefault="00D44536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47035,1</w:t>
            </w:r>
          </w:p>
        </w:tc>
        <w:tc>
          <w:tcPr>
            <w:tcW w:w="1048" w:type="dxa"/>
            <w:shd w:val="clear" w:color="auto" w:fill="auto"/>
          </w:tcPr>
          <w:p w:rsidR="00933D57" w:rsidRPr="003A6D2A" w:rsidRDefault="00D44536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45248,7</w:t>
            </w:r>
          </w:p>
        </w:tc>
        <w:tc>
          <w:tcPr>
            <w:tcW w:w="1248" w:type="dxa"/>
            <w:shd w:val="clear" w:color="auto" w:fill="auto"/>
          </w:tcPr>
          <w:p w:rsidR="00933D57" w:rsidRPr="003A6D2A" w:rsidRDefault="00D44536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45635,1</w:t>
            </w:r>
          </w:p>
        </w:tc>
      </w:tr>
      <w:tr w:rsidR="00933D57" w:rsidRPr="00757051" w:rsidTr="00CB381A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Администрация Качинского муниципального округа</w:t>
            </w:r>
          </w:p>
        </w:tc>
        <w:tc>
          <w:tcPr>
            <w:tcW w:w="851" w:type="dxa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048" w:type="dxa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shd w:val="clear" w:color="auto" w:fill="auto"/>
          </w:tcPr>
          <w:p w:rsidR="00933D57" w:rsidRPr="003A6D2A" w:rsidRDefault="00933D57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</w:tr>
      <w:tr w:rsidR="00933D57" w:rsidRPr="00757051" w:rsidTr="002A56C5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D57" w:rsidRPr="003A6D2A" w:rsidRDefault="004F32E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13123,1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12919,2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13</w:t>
            </w:r>
            <w:r w:rsidR="009710B0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4</w:t>
            </w: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</w:t>
            </w:r>
            <w:r w:rsidR="009710B0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6,</w:t>
            </w: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933D57" w:rsidRPr="00757051" w:rsidTr="002A56C5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354103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1651,7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1697,3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1757,2</w:t>
            </w:r>
          </w:p>
        </w:tc>
      </w:tr>
      <w:tr w:rsidR="00933D57" w:rsidRPr="00757051" w:rsidTr="002A56C5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Функционирование Правительства Российской Федерации, высших органов государственной власти субъектов Российской Федерации, 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местных администраций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A56C5" w:rsidRDefault="002A56C5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11004,1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10750,6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10920,5</w:t>
            </w:r>
          </w:p>
        </w:tc>
      </w:tr>
      <w:tr w:rsidR="00933D57" w:rsidRPr="00757051" w:rsidTr="002A56C5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деят</w:t>
            </w: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ельности местной администрации </w:t>
            </w: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внутригородского муниципального образования для решения вопросов местного значения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6C5" w:rsidRDefault="002A56C5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2A56C5" w:rsidRDefault="002A56C5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2A56C5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</w:t>
            </w:r>
            <w:r w:rsidR="00933D57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8339,7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E97D5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7968,1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D5409D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8045,4</w:t>
            </w:r>
          </w:p>
        </w:tc>
      </w:tr>
      <w:tr w:rsidR="00933D57" w:rsidRPr="00757051" w:rsidTr="002A56C5">
        <w:trPr>
          <w:jc w:val="center"/>
        </w:trPr>
        <w:tc>
          <w:tcPr>
            <w:tcW w:w="3685" w:type="dxa"/>
            <w:shd w:val="clear" w:color="auto" w:fill="auto"/>
          </w:tcPr>
          <w:p w:rsidR="00933D57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З</w:t>
            </w:r>
            <w:r w:rsidR="00933D57"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акупки товаров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933D57" w:rsidRPr="003A6D2A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797,8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D5409D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162,8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933D57" w:rsidRDefault="00933D57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933D57" w:rsidRPr="003A6D2A" w:rsidRDefault="00D5409D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38,8</w:t>
            </w:r>
          </w:p>
        </w:tc>
      </w:tr>
      <w:tr w:rsidR="00D01B79" w:rsidRPr="00757051" w:rsidTr="002A56C5">
        <w:trPr>
          <w:jc w:val="center"/>
        </w:trPr>
        <w:tc>
          <w:tcPr>
            <w:tcW w:w="3685" w:type="dxa"/>
            <w:shd w:val="clear" w:color="auto" w:fill="auto"/>
          </w:tcPr>
          <w:p w:rsidR="00D01B79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01B79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01B79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01B79" w:rsidRDefault="00B9387A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D01B79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D01B79" w:rsidRDefault="00D5409D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15</w:t>
            </w:r>
            <w:r w:rsidR="00B9387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</w:tr>
      <w:tr w:rsidR="00D01B79" w:rsidRPr="00757051" w:rsidTr="002A56C5">
        <w:trPr>
          <w:jc w:val="center"/>
        </w:trPr>
        <w:tc>
          <w:tcPr>
            <w:tcW w:w="3685" w:type="dxa"/>
            <w:shd w:val="clear" w:color="auto" w:fill="auto"/>
          </w:tcPr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Обеспечение деят</w:t>
            </w: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ельности муниципальных служащих, исполняющих отдельные гос. полномочия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D01B79" w:rsidRPr="003A6D2A" w:rsidRDefault="00D01B79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D01B79" w:rsidRPr="003A6D2A" w:rsidRDefault="007422A8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2664,4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D01B79" w:rsidRDefault="00B9387A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2668,4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D01B79" w:rsidRDefault="00D5409D" w:rsidP="002A56C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2875,1</w:t>
            </w:r>
          </w:p>
        </w:tc>
      </w:tr>
      <w:tr w:rsidR="00D01B79" w:rsidRPr="00757051" w:rsidTr="00CB381A">
        <w:trPr>
          <w:jc w:val="center"/>
        </w:trPr>
        <w:tc>
          <w:tcPr>
            <w:tcW w:w="3685" w:type="dxa"/>
            <w:shd w:val="clear" w:color="auto" w:fill="auto"/>
          </w:tcPr>
          <w:p w:rsidR="00D01B79" w:rsidRPr="000C7148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0C7148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851" w:type="dxa"/>
            <w:shd w:val="clear" w:color="auto" w:fill="auto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1" w:type="dxa"/>
            <w:shd w:val="clear" w:color="auto" w:fill="auto"/>
          </w:tcPr>
          <w:p w:rsidR="00D01B79" w:rsidRPr="005D1CB5" w:rsidRDefault="00581CED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5</w:t>
            </w:r>
            <w:r w:rsidR="00D01B79" w:rsidRPr="005D1CB5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shd w:val="clear" w:color="auto" w:fill="auto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8" w:type="dxa"/>
            <w:shd w:val="clear" w:color="auto" w:fill="auto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5,0</w:t>
            </w:r>
          </w:p>
        </w:tc>
      </w:tr>
      <w:tr w:rsidR="00D01B79" w:rsidRPr="00757051" w:rsidTr="00CB381A">
        <w:trPr>
          <w:jc w:val="center"/>
        </w:trPr>
        <w:tc>
          <w:tcPr>
            <w:tcW w:w="3685" w:type="dxa"/>
            <w:shd w:val="clear" w:color="auto" w:fill="auto"/>
          </w:tcPr>
          <w:p w:rsidR="00D01B79" w:rsidRPr="000C7148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51" w:type="dxa"/>
            <w:shd w:val="clear" w:color="auto" w:fill="auto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D01B79" w:rsidRPr="005D1CB5" w:rsidRDefault="00D01B79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D01B79" w:rsidRDefault="007422A8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462,3</w:t>
            </w:r>
          </w:p>
        </w:tc>
        <w:tc>
          <w:tcPr>
            <w:tcW w:w="1048" w:type="dxa"/>
            <w:shd w:val="clear" w:color="auto" w:fill="auto"/>
          </w:tcPr>
          <w:p w:rsidR="00D01B79" w:rsidRDefault="00D5409D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466,3</w:t>
            </w:r>
          </w:p>
        </w:tc>
        <w:tc>
          <w:tcPr>
            <w:tcW w:w="1248" w:type="dxa"/>
            <w:shd w:val="clear" w:color="auto" w:fill="auto"/>
          </w:tcPr>
          <w:p w:rsidR="00D01B79" w:rsidRDefault="00D5409D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733,5</w:t>
            </w:r>
          </w:p>
        </w:tc>
      </w:tr>
      <w:tr w:rsidR="00581CED" w:rsidRPr="00757051" w:rsidTr="00CB381A">
        <w:trPr>
          <w:jc w:val="center"/>
        </w:trPr>
        <w:tc>
          <w:tcPr>
            <w:tcW w:w="3685" w:type="dxa"/>
            <w:shd w:val="clear" w:color="auto" w:fill="auto"/>
          </w:tcPr>
          <w:p w:rsidR="00581CED" w:rsidRPr="00BD6345" w:rsidRDefault="00BD6345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ru-RU"/>
              </w:rPr>
            </w:pPr>
            <w:r w:rsidRPr="00BD6345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ru-RU"/>
              </w:rPr>
              <w:t xml:space="preserve">Расходы </w:t>
            </w:r>
            <w:r w:rsidR="00581CED" w:rsidRPr="00BD6345">
              <w:rPr>
                <w:rFonts w:ascii="Book Antiqua" w:eastAsia="Times New Roman" w:hAnsi="Book Antiqua" w:cs="Arial"/>
                <w:kern w:val="0"/>
                <w:sz w:val="18"/>
                <w:szCs w:val="18"/>
                <w:lang w:eastAsia="ru-RU"/>
              </w:rPr>
              <w:t>на отдельное государственное полномочие по ведению похозяйственных книг в целях учета личных подсобных хозяйств, предоставлению выписок из них на территории внутригородского муниципального образования за счет средств субвенции из бюджета города Севастополя</w:t>
            </w:r>
          </w:p>
        </w:tc>
        <w:tc>
          <w:tcPr>
            <w:tcW w:w="851" w:type="dxa"/>
            <w:shd w:val="clear" w:color="auto" w:fill="auto"/>
          </w:tcPr>
          <w:p w:rsidR="00581CED" w:rsidRPr="00AD6E86" w:rsidRDefault="00AD6E86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AD6E86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581CED" w:rsidRPr="00AD6E86" w:rsidRDefault="00AD6E86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AD6E86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581CED" w:rsidRPr="00AD6E86" w:rsidRDefault="00AD6E86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AD6E86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581CED" w:rsidRPr="00AD6E86" w:rsidRDefault="00E16FD8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048" w:type="dxa"/>
            <w:shd w:val="clear" w:color="auto" w:fill="auto"/>
          </w:tcPr>
          <w:p w:rsidR="00581CED" w:rsidRPr="00AD6E86" w:rsidRDefault="00324DE4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217,3</w:t>
            </w:r>
          </w:p>
        </w:tc>
        <w:tc>
          <w:tcPr>
            <w:tcW w:w="1248" w:type="dxa"/>
            <w:shd w:val="clear" w:color="auto" w:fill="auto"/>
          </w:tcPr>
          <w:p w:rsidR="00581CED" w:rsidRPr="00AD6E86" w:rsidRDefault="00324DE4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217,3</w:t>
            </w:r>
          </w:p>
        </w:tc>
      </w:tr>
      <w:tr w:rsidR="008957CB" w:rsidRPr="00757051" w:rsidTr="00CB381A">
        <w:trPr>
          <w:jc w:val="center"/>
        </w:trPr>
        <w:tc>
          <w:tcPr>
            <w:tcW w:w="3685" w:type="dxa"/>
            <w:shd w:val="clear" w:color="auto" w:fill="auto"/>
          </w:tcPr>
          <w:p w:rsidR="008957CB" w:rsidRPr="008957CB" w:rsidRDefault="008957CB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8957CB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851" w:type="dxa"/>
            <w:shd w:val="clear" w:color="auto" w:fill="auto"/>
          </w:tcPr>
          <w:p w:rsidR="008957CB" w:rsidRPr="00AD6E86" w:rsidRDefault="008957CB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8957CB" w:rsidRPr="00AD6E86" w:rsidRDefault="008957CB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</w:tcPr>
          <w:p w:rsidR="008957CB" w:rsidRPr="00AD6E86" w:rsidRDefault="008957CB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shd w:val="clear" w:color="auto" w:fill="auto"/>
          </w:tcPr>
          <w:p w:rsidR="008957CB" w:rsidRPr="00AD6E86" w:rsidRDefault="002A56C5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48" w:type="dxa"/>
            <w:shd w:val="clear" w:color="auto" w:fill="auto"/>
          </w:tcPr>
          <w:p w:rsidR="008957CB" w:rsidRPr="00AD6E86" w:rsidRDefault="00D5409D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249,0</w:t>
            </w:r>
          </w:p>
        </w:tc>
        <w:tc>
          <w:tcPr>
            <w:tcW w:w="1248" w:type="dxa"/>
            <w:shd w:val="clear" w:color="auto" w:fill="auto"/>
          </w:tcPr>
          <w:p w:rsidR="008957CB" w:rsidRPr="00AD6E86" w:rsidRDefault="00D5409D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516,2</w:t>
            </w:r>
          </w:p>
        </w:tc>
      </w:tr>
      <w:tr w:rsidR="001748FF" w:rsidRPr="00757051" w:rsidTr="003F6361">
        <w:trPr>
          <w:jc w:val="center"/>
        </w:trPr>
        <w:tc>
          <w:tcPr>
            <w:tcW w:w="3685" w:type="dxa"/>
            <w:shd w:val="clear" w:color="auto" w:fill="auto"/>
          </w:tcPr>
          <w:p w:rsidR="00403F33" w:rsidRPr="00403F33" w:rsidRDefault="00403F33" w:rsidP="00BD6345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403F33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управление и содержание муниципального имущества внутригородского муниципального образования Качинский муниципальный округ</w:t>
            </w:r>
          </w:p>
          <w:p w:rsidR="001748FF" w:rsidRPr="00AD6E86" w:rsidRDefault="001748FF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748FF" w:rsidRPr="00BC63ED" w:rsidRDefault="00403F33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C63E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748FF" w:rsidRPr="00BC63ED" w:rsidRDefault="00403F33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C63E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vAlign w:val="center"/>
          </w:tcPr>
          <w:p w:rsidR="001748FF" w:rsidRPr="00BC63ED" w:rsidRDefault="00403F33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C63ED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748FF" w:rsidRDefault="007422A8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245</w:t>
            </w:r>
            <w:r w:rsidR="00403F33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1748FF" w:rsidRDefault="00403F33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1748FF" w:rsidRDefault="00403F33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D6E86" w:rsidRPr="00757051" w:rsidTr="003F6361">
        <w:trPr>
          <w:jc w:val="center"/>
        </w:trPr>
        <w:tc>
          <w:tcPr>
            <w:tcW w:w="3685" w:type="dxa"/>
            <w:shd w:val="clear" w:color="auto" w:fill="auto"/>
          </w:tcPr>
          <w:p w:rsidR="00AD6E86" w:rsidRPr="003A6D2A" w:rsidRDefault="004763AE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4763AE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Реализация мероприятий, направленных на обеспечение антитеррористической и общественной безопасности на территории муниципального образования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vAlign w:val="center"/>
          </w:tcPr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AD6E86" w:rsidRPr="003A6D2A" w:rsidRDefault="00EC7E8C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D6E86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D6E86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  <w:p w:rsidR="00AD6E86" w:rsidRPr="003A6D2A" w:rsidRDefault="00AD6E86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EC7E8C" w:rsidRPr="00757051" w:rsidTr="003F6361">
        <w:trPr>
          <w:trHeight w:val="1524"/>
          <w:jc w:val="center"/>
        </w:trPr>
        <w:tc>
          <w:tcPr>
            <w:tcW w:w="3685" w:type="dxa"/>
            <w:shd w:val="clear" w:color="auto" w:fill="auto"/>
          </w:tcPr>
          <w:p w:rsidR="00EC7E8C" w:rsidRPr="00202652" w:rsidRDefault="00EC7E8C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202652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Муниципальная программа "</w:t>
            </w: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Благоустройство территории внутригородского муниципального образования</w:t>
            </w:r>
            <w:r w:rsidRPr="00202652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 xml:space="preserve"> города Севастополя Качинский муниципальный округ"</w:t>
            </w: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</w:tcPr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276" w:type="dxa"/>
          </w:tcPr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1" w:type="dxa"/>
            <w:shd w:val="clear" w:color="auto" w:fill="auto"/>
          </w:tcPr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EC7E8C" w:rsidRDefault="00EC7E8C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32429,6</w:t>
            </w:r>
          </w:p>
        </w:tc>
        <w:tc>
          <w:tcPr>
            <w:tcW w:w="1048" w:type="dxa"/>
            <w:shd w:val="clear" w:color="auto" w:fill="auto"/>
          </w:tcPr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D5409D" w:rsidRDefault="00D5409D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D5409D" w:rsidRDefault="00D5409D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D5409D" w:rsidRDefault="00D5409D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32329,5</w:t>
            </w:r>
          </w:p>
        </w:tc>
        <w:tc>
          <w:tcPr>
            <w:tcW w:w="1248" w:type="dxa"/>
            <w:shd w:val="clear" w:color="auto" w:fill="auto"/>
          </w:tcPr>
          <w:p w:rsidR="00EC7E8C" w:rsidRDefault="00EC7E8C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D5409D" w:rsidRDefault="00D5409D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D5409D" w:rsidRDefault="00D5409D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  <w:p w:rsidR="00D5409D" w:rsidRDefault="00D5409D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32218,9</w:t>
            </w:r>
          </w:p>
        </w:tc>
      </w:tr>
      <w:tr w:rsidR="00AD6E86" w:rsidRPr="00757051" w:rsidTr="00924070">
        <w:trPr>
          <w:jc w:val="center"/>
        </w:trPr>
        <w:tc>
          <w:tcPr>
            <w:tcW w:w="3685" w:type="dxa"/>
            <w:shd w:val="clear" w:color="auto" w:fill="auto"/>
          </w:tcPr>
          <w:p w:rsidR="008F4215" w:rsidRPr="00202652" w:rsidRDefault="008F4215" w:rsidP="003F6361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202652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Муниципальная программа "Развитие культуры во внутригородском муниципальном образовании города Севастополя Качинский муниципальный округ"</w:t>
            </w:r>
          </w:p>
          <w:p w:rsidR="00AD6E86" w:rsidRPr="00202652" w:rsidRDefault="00AD6E86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E86" w:rsidRPr="00202652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202652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86" w:rsidRPr="00202652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202652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:rsidR="00AD6E86" w:rsidRPr="00202652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202652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6E86" w:rsidRPr="00202652" w:rsidRDefault="00EC7E8C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920,0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D6E86" w:rsidRPr="00202652" w:rsidRDefault="004775A7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D6E86" w:rsidRPr="00202652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</w:pPr>
            <w:r w:rsidRPr="00202652">
              <w:rPr>
                <w:rFonts w:ascii="Book Antiqua" w:eastAsia="Times New Roman" w:hAnsi="Book Antiqua" w:cs="Arial"/>
                <w:b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D6E86" w:rsidRPr="00757051" w:rsidTr="00924070">
        <w:trPr>
          <w:jc w:val="center"/>
        </w:trPr>
        <w:tc>
          <w:tcPr>
            <w:tcW w:w="3685" w:type="dxa"/>
            <w:shd w:val="clear" w:color="auto" w:fill="auto"/>
          </w:tcPr>
          <w:p w:rsidR="00AD6E86" w:rsidRPr="003A6D2A" w:rsidRDefault="008F4215" w:rsidP="002D37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8F4215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Подпрограмма "Праздники"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6E86" w:rsidRPr="003A6D2A" w:rsidRDefault="00EC7E8C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670</w:t>
            </w:r>
            <w:r w:rsidR="009710B0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D6E86" w:rsidRPr="003A6D2A" w:rsidRDefault="004775A7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D6E86" w:rsidRPr="00757051" w:rsidTr="00924070">
        <w:trPr>
          <w:jc w:val="center"/>
        </w:trPr>
        <w:tc>
          <w:tcPr>
            <w:tcW w:w="3685" w:type="dxa"/>
            <w:shd w:val="clear" w:color="auto" w:fill="auto"/>
          </w:tcPr>
          <w:p w:rsidR="00AD6E86" w:rsidRPr="003A6D2A" w:rsidRDefault="00924070" w:rsidP="002D379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 xml:space="preserve">Подпрограмма </w:t>
            </w:r>
            <w:r w:rsidR="00202652" w:rsidRPr="00202652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"Военно-патриотическое воспитание"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276" w:type="dxa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6E86" w:rsidRPr="003A6D2A" w:rsidRDefault="00EC7E8C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250</w:t>
            </w:r>
            <w:r w:rsidR="009710B0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D6E86" w:rsidRPr="003A6D2A" w:rsidRDefault="00C74A3A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</w:t>
            </w:r>
            <w:r w:rsidR="00AD6E86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D6E86" w:rsidRPr="00757051" w:rsidTr="00924070">
        <w:trPr>
          <w:trHeight w:val="1470"/>
          <w:jc w:val="center"/>
        </w:trPr>
        <w:tc>
          <w:tcPr>
            <w:tcW w:w="3685" w:type="dxa"/>
            <w:shd w:val="clear" w:color="auto" w:fill="auto"/>
          </w:tcPr>
          <w:p w:rsidR="00310F71" w:rsidRPr="00310F71" w:rsidRDefault="00310F71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10F71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lastRenderedPageBreak/>
              <w:t>Муниципальная программа "Развитие физической культуры и спорта во внутригородском муниципальном образовании города Севастополя Качинский муниципальный округ"</w:t>
            </w:r>
          </w:p>
          <w:p w:rsidR="00AD6E86" w:rsidRPr="003A6D2A" w:rsidRDefault="00AD6E86" w:rsidP="007A24E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6E86" w:rsidRPr="003A6D2A" w:rsidRDefault="00A95B1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432,4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D6E86" w:rsidRPr="00B065D8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B065D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  <w:tr w:rsidR="00AD6E86" w:rsidRPr="00757051" w:rsidTr="00924070">
        <w:trPr>
          <w:jc w:val="center"/>
        </w:trPr>
        <w:tc>
          <w:tcPr>
            <w:tcW w:w="3685" w:type="dxa"/>
            <w:shd w:val="clear" w:color="auto" w:fill="auto"/>
          </w:tcPr>
          <w:p w:rsidR="00AD6E86" w:rsidRPr="003A6D2A" w:rsidRDefault="002C1442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29"/>
              <w:jc w:val="both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2C1442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Муниципальная программа "Информационное общество "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76" w:type="dxa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 w:rsidRPr="003A6D2A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AD6E86" w:rsidRPr="003A6D2A" w:rsidRDefault="009710B0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3</w:t>
            </w:r>
            <w:r w:rsidR="007422A8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</w:t>
            </w:r>
            <w:r w:rsidR="00AD6E86"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8" w:type="dxa"/>
            <w:shd w:val="clear" w:color="auto" w:fill="auto"/>
            <w:vAlign w:val="center"/>
          </w:tcPr>
          <w:p w:rsidR="00AD6E86" w:rsidRPr="003A6D2A" w:rsidRDefault="00AD6E86" w:rsidP="0092407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</w:pPr>
            <w:r>
              <w:rPr>
                <w:rFonts w:ascii="Book Antiqua" w:eastAsia="Times New Roman" w:hAnsi="Book Antiqua" w:cs="Arial"/>
                <w:kern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933D57" w:rsidRPr="00F44930" w:rsidRDefault="00933D57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4D0C29" w:rsidRDefault="004D0C29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2021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13123,1</w:t>
      </w:r>
      <w:r w:rsidR="00A63AC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 рублей,</w:t>
      </w:r>
      <w:r w:rsidR="00F4762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реализацию мероприятий по благоустройству территории ВМО Качинский МО запланировано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32429,6</w:t>
      </w:r>
      <w:r w:rsidR="00F4762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разв</w:t>
      </w:r>
      <w:r w:rsidR="003E40C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21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432,4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развитие культуры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920,0</w:t>
      </w:r>
      <w:r w:rsidR="005C1DAE"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 w:rsid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="00F4762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рублей</w:t>
      </w:r>
      <w:r w:rsidR="00C1037E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 мероприятия</w:t>
      </w:r>
      <w:r w:rsidR="003E40CC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направленные на обеспечение антитеррористической и общественной безопасности</w:t>
      </w:r>
      <w:r w:rsidR="0099346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составит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100,0</w:t>
      </w:r>
      <w:r w:rsidR="00AF08B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 на мероприятия по информированию жителей о деятельности органов мес</w:t>
      </w:r>
      <w:r w:rsidR="00031468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тного самоуправления составит 3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</w:t>
      </w:r>
      <w:r w:rsidR="00B800B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,0 тыс. рублей</w:t>
      </w:r>
      <w:r w:rsidR="0092407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</w:t>
      </w:r>
      <w:r w:rsidR="00DB018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мероприятия</w:t>
      </w:r>
      <w:r w:rsidR="00924070" w:rsidRPr="0092407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направленны</w:t>
      </w:r>
      <w:r w:rsidR="00DB018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е</w:t>
      </w:r>
      <w:r w:rsidR="00924070" w:rsidRPr="0092407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управление и содержание муниципального имущества</w:t>
      </w:r>
      <w:r w:rsidR="00DB018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245,0 тыс. рублей</w:t>
      </w:r>
    </w:p>
    <w:p w:rsidR="007C5DA2" w:rsidRPr="00F44930" w:rsidRDefault="007C5DA2" w:rsidP="007A24E7">
      <w:pPr>
        <w:suppressAutoHyphens w:val="0"/>
        <w:spacing w:after="0" w:line="240" w:lineRule="auto"/>
        <w:ind w:firstLine="708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2022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12919,2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рублей,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реализацию мероприятий по благоустройству территории ВМО Качинский МО запланировано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32329,5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разв</w:t>
      </w:r>
      <w:r w:rsidR="007D26F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2021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 w:rsidR="009F517F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на развитие культуры </w:t>
      </w:r>
      <w:r w:rsidR="007D26F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рублей, </w:t>
      </w:r>
      <w:r w:rsidR="00522CA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на мероприятия, направленные на обеспечение антитеррористической и общественной безопасности составит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 тыс. рублей, на мероприятия по информированию жителей о деятельности органов местного самоуправления составит 0,0 тыс. рублей.</w:t>
      </w:r>
    </w:p>
    <w:p w:rsidR="003215C6" w:rsidRDefault="003215C6" w:rsidP="0026158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Расходы на об</w:t>
      </w:r>
      <w:r w:rsidR="00522CA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щегосударственные вопросы в 202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составят </w:t>
      </w:r>
      <w:r w:rsidR="00522CA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13</w:t>
      </w:r>
      <w:r w:rsidR="007D26F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4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16,2</w:t>
      </w:r>
      <w:r w:rsidR="007D26F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тыс. рублей,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реализацию мероприятий по благоустройству территории ВМО Качинский МО запланировано 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32218,9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рублей,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разв</w:t>
      </w:r>
      <w:r w:rsidR="007D26F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итие физкультуры и спорта в 202</w:t>
      </w:r>
      <w:r w:rsidR="00D540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году запланировано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 рублей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, на развитие культуры 0,0</w:t>
      </w: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тыс.</w:t>
      </w:r>
      <w:r w:rsidR="00522CA4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рублей, на мероприятия, направленные на обеспечение антитеррористической и общественной безопасности составит </w:t>
      </w: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0,0 тыс. рублей, на мероприятия по информированию жителей о деятельности органов местного самоуправления составит 0,0 тыс. рублей.</w:t>
      </w:r>
    </w:p>
    <w:p w:rsidR="005E169D" w:rsidRPr="00F44930" w:rsidRDefault="005E169D" w:rsidP="00261588">
      <w:pPr>
        <w:suppressAutoHyphens w:val="0"/>
        <w:spacing w:after="0" w:line="240" w:lineRule="auto"/>
        <w:ind w:firstLine="300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течение года возможна корректировка сумм финансирования по направлениям при наличии дополнительных поступлений в бюджет ВМО Качинский МО.</w:t>
      </w:r>
    </w:p>
    <w:p w:rsidR="00265B50" w:rsidRDefault="00265B50" w:rsidP="00261588">
      <w:pPr>
        <w:pStyle w:val="ab"/>
        <w:suppressAutoHyphens w:val="0"/>
        <w:spacing w:after="0" w:line="240" w:lineRule="auto"/>
        <w:ind w:left="0" w:firstLine="426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Муниципальные программы </w:t>
      </w:r>
      <w:r w:rsidR="001D7205"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внутригородского муниципального образования Качинский муниципальный округ в соответствии со статьей 179 Бюджетного кодекса Российской Федерации подлежат приведению в соответствие с решением о местном бюджете не позднее трех месяцев со дня вступления его в силу.</w:t>
      </w:r>
    </w:p>
    <w:p w:rsidR="001D7205" w:rsidRDefault="001D7205" w:rsidP="00261588">
      <w:pPr>
        <w:pStyle w:val="ab"/>
        <w:suppressAutoHyphens w:val="0"/>
        <w:spacing w:after="0" w:line="240" w:lineRule="auto"/>
        <w:ind w:left="0" w:firstLine="426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В соответствии со статьей 81 Бюджетного кодекса Рос</w:t>
      </w:r>
      <w:r w:rsidR="008D3077" w:rsidRP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</w:t>
      </w:r>
      <w:r w:rsidRPr="001D7205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ийской Федерации</w:t>
      </w:r>
      <w:r w:rsid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, </w:t>
      </w:r>
      <w:r w:rsidR="008D3077" w:rsidRP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прогнозируемый размер резервного фонда на очередной финансов</w:t>
      </w:r>
      <w:r w:rsidR="001D466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ый год составляет 5</w:t>
      </w:r>
      <w:r w:rsid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.0 тыс.руб.,</w:t>
      </w:r>
      <w:r w:rsidR="005E16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на 2022</w:t>
      </w:r>
      <w:r w:rsidR="001D4663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– 5.0 тыс.руб., на 202</w:t>
      </w:r>
      <w:r w:rsidR="005E169D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3</w:t>
      </w:r>
      <w:r w:rsidR="008D3077" w:rsidRPr="008D3077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 xml:space="preserve"> год – 5.0 тыс.руб., что не превышает 3% общего прогнозируемого объема расходов.</w:t>
      </w:r>
    </w:p>
    <w:p w:rsidR="00940676" w:rsidRPr="00940676" w:rsidRDefault="00940676" w:rsidP="00261588">
      <w:pPr>
        <w:pStyle w:val="ab"/>
        <w:suppressAutoHyphens w:val="0"/>
        <w:spacing w:after="0" w:line="240" w:lineRule="auto"/>
        <w:ind w:left="0" w:firstLine="426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  <w:r w:rsidRPr="00940676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t>Средства резервного фонда могут быть направлены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CB610C" w:rsidRDefault="00CB610C" w:rsidP="00261588">
      <w:pPr>
        <w:suppressAutoHyphens w:val="0"/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p w:rsidR="00AC4FAF" w:rsidRDefault="00AC4FAF" w:rsidP="00261588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>
        <w:rPr>
          <w:rFonts w:ascii="Book Antiqua" w:hAnsi="Book Antiqua"/>
          <w:color w:val="000000" w:themeColor="text1"/>
        </w:rPr>
        <w:t xml:space="preserve">Приоритетами на </w:t>
      </w:r>
      <w:r w:rsidRPr="00E01BE6">
        <w:rPr>
          <w:rFonts w:ascii="Book Antiqua" w:hAnsi="Book Antiqua"/>
          <w:color w:val="000000" w:themeColor="text1"/>
        </w:rPr>
        <w:t>оче</w:t>
      </w:r>
      <w:r w:rsidRPr="00734334">
        <w:rPr>
          <w:rFonts w:ascii="Book Antiqua" w:hAnsi="Book Antiqua"/>
          <w:color w:val="000000" w:themeColor="text1"/>
        </w:rPr>
        <w:t>ре</w:t>
      </w:r>
      <w:r w:rsidRPr="00E01BE6">
        <w:rPr>
          <w:rFonts w:ascii="Book Antiqua" w:hAnsi="Book Antiqua"/>
          <w:color w:val="000000" w:themeColor="text1"/>
        </w:rPr>
        <w:t>дной</w:t>
      </w:r>
      <w:r w:rsidRPr="00734334">
        <w:rPr>
          <w:rFonts w:ascii="Book Antiqua" w:hAnsi="Book Antiqua"/>
          <w:color w:val="000000" w:themeColor="text1"/>
        </w:rPr>
        <w:t xml:space="preserve"> финансовый </w:t>
      </w:r>
      <w:r>
        <w:rPr>
          <w:rFonts w:ascii="Book Antiqua" w:hAnsi="Book Antiqua"/>
          <w:color w:val="000000" w:themeColor="text1"/>
        </w:rPr>
        <w:t xml:space="preserve">2021 год и на </w:t>
      </w:r>
      <w:r w:rsidRPr="00734334">
        <w:rPr>
          <w:rFonts w:ascii="Book Antiqua" w:hAnsi="Book Antiqua"/>
          <w:color w:val="000000" w:themeColor="text1"/>
        </w:rPr>
        <w:t xml:space="preserve">плановый </w:t>
      </w:r>
      <w:r>
        <w:rPr>
          <w:rFonts w:ascii="Book Antiqua" w:hAnsi="Book Antiqua"/>
          <w:color w:val="000000" w:themeColor="text1"/>
        </w:rPr>
        <w:t>период 2022 и 2023 годов</w:t>
      </w:r>
      <w:r w:rsidRPr="00F44930">
        <w:rPr>
          <w:rFonts w:ascii="Book Antiqua" w:hAnsi="Book Antiqua"/>
          <w:color w:val="000000" w:themeColor="text1"/>
        </w:rPr>
        <w:t xml:space="preserve"> будут являться: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создание комплексных условий для повышения качества жизни и здоровья населения;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реализация социальных прав и гарантий граждан;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развитие экономики на основе расширения сельскохозяйственного производства и налогового потенциала;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развитие малого и среднего предпринимательства на территории Качинский муниципальный округ в области оказании услуг в жилищно</w:t>
      </w:r>
      <w:r>
        <w:rPr>
          <w:rFonts w:ascii="Book Antiqua" w:hAnsi="Book Antiqua"/>
          <w:color w:val="000000" w:themeColor="text1"/>
        </w:rPr>
        <w:t xml:space="preserve">-коммунальной и бытовой сфере, </w:t>
      </w:r>
      <w:r w:rsidRPr="00F44930">
        <w:rPr>
          <w:rFonts w:ascii="Book Antiqua" w:hAnsi="Book Antiqua"/>
          <w:color w:val="000000" w:themeColor="text1"/>
        </w:rPr>
        <w:t>в производстве и переработке сельскохозяйственной продукции;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 xml:space="preserve">• повышения эффективности энергопотребления в производственной и бюджетной сферах и в </w:t>
      </w:r>
      <w:proofErr w:type="spellStart"/>
      <w:r w:rsidRPr="00F44930">
        <w:rPr>
          <w:rFonts w:ascii="Book Antiqua" w:hAnsi="Book Antiqua"/>
          <w:color w:val="000000" w:themeColor="text1"/>
        </w:rPr>
        <w:t>жилищно</w:t>
      </w:r>
      <w:proofErr w:type="spellEnd"/>
      <w:r w:rsidRPr="00F44930">
        <w:rPr>
          <w:rFonts w:ascii="Book Antiqua" w:hAnsi="Book Antiqua"/>
          <w:color w:val="000000" w:themeColor="text1"/>
        </w:rPr>
        <w:t xml:space="preserve"> - коммунальном хозяйстве;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повышение уровня рождаемости посредством проведения мероприятий, направленных на ее стимулирование, улучшения положения семей с детьми;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обеспечение высоких темпов роста реальных доходов населения;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наращивание объемов капитального ремонта жилого фонда и инженерно-технической инфраструктуры, ликвидация ветхого и аварийного жилья посредством реализации программных мер государственной поддержки этой деятельности;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объемов ремонта дорог местного значения;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увеличение собственных доходов муниципального образования и рациональное их использование;</w:t>
      </w:r>
    </w:p>
    <w:p w:rsidR="00AC4FAF" w:rsidRPr="00F44930" w:rsidRDefault="00AC4FAF" w:rsidP="00AC4FAF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hAnsi="Book Antiqua"/>
          <w:color w:val="000000" w:themeColor="text1"/>
        </w:rPr>
        <w:t>• совершенствование муниципального управления процессами социально- экономического развития муниципального образования.</w:t>
      </w:r>
    </w:p>
    <w:p w:rsidR="00AC4FAF" w:rsidRDefault="00AC4FAF" w:rsidP="005E169D">
      <w:pPr>
        <w:suppressAutoHyphens w:val="0"/>
        <w:spacing w:after="0" w:line="240" w:lineRule="auto"/>
        <w:ind w:firstLine="708"/>
        <w:jc w:val="both"/>
        <w:rPr>
          <w:rFonts w:ascii="Book Antiqua" w:hAnsi="Book Antiqua"/>
          <w:color w:val="000000" w:themeColor="text1"/>
        </w:rPr>
      </w:pPr>
      <w:r w:rsidRPr="00F44930"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  <w:br/>
      </w:r>
    </w:p>
    <w:p w:rsidR="00115ADD" w:rsidRPr="00571AF8" w:rsidRDefault="00115ADD" w:rsidP="00115ADD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Глава ВМО Качинский </w:t>
      </w:r>
      <w:proofErr w:type="gramStart"/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МО,</w:t>
      </w:r>
      <w:r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</w:t>
      </w:r>
      <w:proofErr w:type="gramEnd"/>
      <w:r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                           </w:t>
      </w:r>
      <w:r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                 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Н.М. Герасим</w:t>
      </w:r>
    </w:p>
    <w:p w:rsidR="00115ADD" w:rsidRPr="00571AF8" w:rsidRDefault="00115ADD" w:rsidP="00115ADD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 xml:space="preserve">исполняющий полномочия председателя Совета, </w:t>
      </w:r>
    </w:p>
    <w:p w:rsidR="00115ADD" w:rsidRDefault="00115ADD" w:rsidP="00115ADD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</w:pP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>Глава местной администрации</w:t>
      </w:r>
      <w:r w:rsidRPr="00571AF8">
        <w:rPr>
          <w:rFonts w:ascii="Book Antiqua" w:eastAsia="Times New Roman" w:hAnsi="Book Antiqua" w:cs="Times New Roman"/>
          <w:b/>
          <w:i/>
          <w:color w:val="000000" w:themeColor="text1"/>
          <w:kern w:val="0"/>
          <w:sz w:val="24"/>
          <w:szCs w:val="24"/>
          <w:lang w:eastAsia="ru-RU"/>
        </w:rPr>
        <w:tab/>
      </w:r>
    </w:p>
    <w:p w:rsidR="00AC4FAF" w:rsidRPr="00AF08B3" w:rsidRDefault="00AC4FAF" w:rsidP="005E169D">
      <w:pPr>
        <w:pStyle w:val="a7"/>
        <w:spacing w:before="0" w:beforeAutospacing="0" w:after="0" w:afterAutospacing="0" w:line="270" w:lineRule="atLeast"/>
        <w:ind w:firstLine="708"/>
        <w:jc w:val="both"/>
        <w:rPr>
          <w:rFonts w:ascii="Book Antiqua" w:hAnsi="Book Antiqua"/>
          <w:color w:val="000000" w:themeColor="text1"/>
        </w:rPr>
      </w:pPr>
      <w:bookmarkStart w:id="0" w:name="_GoBack"/>
      <w:bookmarkEnd w:id="0"/>
      <w:r w:rsidRPr="00F44930">
        <w:rPr>
          <w:rFonts w:ascii="Book Antiqua" w:hAnsi="Book Antiqua"/>
          <w:color w:val="000000" w:themeColor="text1"/>
        </w:rPr>
        <w:br/>
      </w:r>
    </w:p>
    <w:p w:rsidR="00AC4FAF" w:rsidRPr="00F44930" w:rsidRDefault="00AC4FAF" w:rsidP="00AC4FAF">
      <w:pPr>
        <w:suppressAutoHyphens w:val="0"/>
        <w:spacing w:after="0" w:line="240" w:lineRule="auto"/>
        <w:ind w:left="360"/>
        <w:rPr>
          <w:rFonts w:ascii="Book Antiqua" w:eastAsia="Times New Roman" w:hAnsi="Book Antiqua" w:cs="Times New Roman"/>
          <w:color w:val="000000" w:themeColor="text1"/>
          <w:kern w:val="0"/>
          <w:sz w:val="24"/>
          <w:szCs w:val="24"/>
          <w:lang w:eastAsia="ru-RU"/>
        </w:rPr>
      </w:pPr>
    </w:p>
    <w:sectPr w:rsidR="00AC4FAF" w:rsidRPr="00F449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968" w:rsidRDefault="00D53968" w:rsidP="00571AF8">
      <w:pPr>
        <w:spacing w:after="0" w:line="240" w:lineRule="auto"/>
      </w:pPr>
      <w:r>
        <w:separator/>
      </w:r>
    </w:p>
  </w:endnote>
  <w:endnote w:type="continuationSeparator" w:id="0">
    <w:p w:rsidR="00D53968" w:rsidRDefault="00D53968" w:rsidP="0057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EC" w:rsidRDefault="00663FE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EC" w:rsidRDefault="00663FEC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EC" w:rsidRDefault="00663F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968" w:rsidRDefault="00D53968" w:rsidP="00571AF8">
      <w:pPr>
        <w:spacing w:after="0" w:line="240" w:lineRule="auto"/>
      </w:pPr>
      <w:r>
        <w:separator/>
      </w:r>
    </w:p>
  </w:footnote>
  <w:footnote w:type="continuationSeparator" w:id="0">
    <w:p w:rsidR="00D53968" w:rsidRDefault="00D53968" w:rsidP="0057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EC" w:rsidRDefault="00663FEC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EC" w:rsidRDefault="00663FEC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FEC" w:rsidRDefault="00663FE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70E51"/>
    <w:multiLevelType w:val="multilevel"/>
    <w:tmpl w:val="BFBE55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02136E"/>
    <w:multiLevelType w:val="multilevel"/>
    <w:tmpl w:val="43BC1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860ADC"/>
    <w:multiLevelType w:val="multilevel"/>
    <w:tmpl w:val="B4325A9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F772FB"/>
    <w:multiLevelType w:val="hybridMultilevel"/>
    <w:tmpl w:val="2A22B7D4"/>
    <w:lvl w:ilvl="0" w:tplc="377AA70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 w15:restartNumberingAfterBreak="0">
    <w:nsid w:val="3B9C1DBA"/>
    <w:multiLevelType w:val="hybridMultilevel"/>
    <w:tmpl w:val="58D66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C44A3"/>
    <w:multiLevelType w:val="hybridMultilevel"/>
    <w:tmpl w:val="A52857DE"/>
    <w:lvl w:ilvl="0" w:tplc="6E368E32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7F54AB6"/>
    <w:multiLevelType w:val="multilevel"/>
    <w:tmpl w:val="E09EC7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C4"/>
    <w:rsid w:val="00014F06"/>
    <w:rsid w:val="00022F84"/>
    <w:rsid w:val="00031468"/>
    <w:rsid w:val="000411A7"/>
    <w:rsid w:val="000571F7"/>
    <w:rsid w:val="00073099"/>
    <w:rsid w:val="00083F8C"/>
    <w:rsid w:val="000C3AA1"/>
    <w:rsid w:val="000C51FE"/>
    <w:rsid w:val="000E1D48"/>
    <w:rsid w:val="000F3D6E"/>
    <w:rsid w:val="000F7049"/>
    <w:rsid w:val="0010424B"/>
    <w:rsid w:val="00115ADD"/>
    <w:rsid w:val="00132742"/>
    <w:rsid w:val="00134A2F"/>
    <w:rsid w:val="0014184F"/>
    <w:rsid w:val="0016076F"/>
    <w:rsid w:val="001748FF"/>
    <w:rsid w:val="001850F2"/>
    <w:rsid w:val="00187042"/>
    <w:rsid w:val="00191B21"/>
    <w:rsid w:val="00193CF3"/>
    <w:rsid w:val="001B3E62"/>
    <w:rsid w:val="001C693E"/>
    <w:rsid w:val="001C7B1A"/>
    <w:rsid w:val="001D208F"/>
    <w:rsid w:val="001D4663"/>
    <w:rsid w:val="001D5ECE"/>
    <w:rsid w:val="001D7205"/>
    <w:rsid w:val="001D7D54"/>
    <w:rsid w:val="001E6054"/>
    <w:rsid w:val="001E78B8"/>
    <w:rsid w:val="00202652"/>
    <w:rsid w:val="002163A7"/>
    <w:rsid w:val="002228AE"/>
    <w:rsid w:val="002326AD"/>
    <w:rsid w:val="00246D28"/>
    <w:rsid w:val="00247277"/>
    <w:rsid w:val="00261588"/>
    <w:rsid w:val="00263EF3"/>
    <w:rsid w:val="00265B50"/>
    <w:rsid w:val="00277E17"/>
    <w:rsid w:val="002A56C5"/>
    <w:rsid w:val="002A63F5"/>
    <w:rsid w:val="002C1442"/>
    <w:rsid w:val="002D3799"/>
    <w:rsid w:val="002F4C4C"/>
    <w:rsid w:val="003066DC"/>
    <w:rsid w:val="00310F71"/>
    <w:rsid w:val="003215C6"/>
    <w:rsid w:val="00321BC4"/>
    <w:rsid w:val="003235BE"/>
    <w:rsid w:val="00324DE4"/>
    <w:rsid w:val="00326AF5"/>
    <w:rsid w:val="003356B0"/>
    <w:rsid w:val="003427A9"/>
    <w:rsid w:val="00343CA5"/>
    <w:rsid w:val="00354103"/>
    <w:rsid w:val="00355314"/>
    <w:rsid w:val="00355B8B"/>
    <w:rsid w:val="00380A62"/>
    <w:rsid w:val="00383303"/>
    <w:rsid w:val="003951BB"/>
    <w:rsid w:val="003A4F9B"/>
    <w:rsid w:val="003B40DE"/>
    <w:rsid w:val="003B6FC2"/>
    <w:rsid w:val="003D5802"/>
    <w:rsid w:val="003D666A"/>
    <w:rsid w:val="003E40CC"/>
    <w:rsid w:val="003F6361"/>
    <w:rsid w:val="00403F33"/>
    <w:rsid w:val="0046099E"/>
    <w:rsid w:val="00465A98"/>
    <w:rsid w:val="004763AE"/>
    <w:rsid w:val="004775A7"/>
    <w:rsid w:val="004B2590"/>
    <w:rsid w:val="004B76C8"/>
    <w:rsid w:val="004C4AF1"/>
    <w:rsid w:val="004D0C29"/>
    <w:rsid w:val="004D2210"/>
    <w:rsid w:val="004D6A60"/>
    <w:rsid w:val="004F0AB9"/>
    <w:rsid w:val="004F1568"/>
    <w:rsid w:val="004F32E9"/>
    <w:rsid w:val="004F7553"/>
    <w:rsid w:val="0050387E"/>
    <w:rsid w:val="005225B3"/>
    <w:rsid w:val="00522CA4"/>
    <w:rsid w:val="0053113A"/>
    <w:rsid w:val="0053289B"/>
    <w:rsid w:val="0053469A"/>
    <w:rsid w:val="0053750E"/>
    <w:rsid w:val="0054493F"/>
    <w:rsid w:val="00545FC0"/>
    <w:rsid w:val="00571AF8"/>
    <w:rsid w:val="00571C51"/>
    <w:rsid w:val="00581CED"/>
    <w:rsid w:val="005928C5"/>
    <w:rsid w:val="00593733"/>
    <w:rsid w:val="00593760"/>
    <w:rsid w:val="005A0757"/>
    <w:rsid w:val="005A7AC9"/>
    <w:rsid w:val="005B0A72"/>
    <w:rsid w:val="005B7DA4"/>
    <w:rsid w:val="005C1DAE"/>
    <w:rsid w:val="005E169D"/>
    <w:rsid w:val="005E1E1E"/>
    <w:rsid w:val="005E2BC6"/>
    <w:rsid w:val="005E2DCD"/>
    <w:rsid w:val="0060580E"/>
    <w:rsid w:val="00613D79"/>
    <w:rsid w:val="00624533"/>
    <w:rsid w:val="00645735"/>
    <w:rsid w:val="0066368F"/>
    <w:rsid w:val="00663FEC"/>
    <w:rsid w:val="00666DF8"/>
    <w:rsid w:val="00670B1A"/>
    <w:rsid w:val="00673297"/>
    <w:rsid w:val="00696209"/>
    <w:rsid w:val="006A4A2A"/>
    <w:rsid w:val="006C6D24"/>
    <w:rsid w:val="006E3A34"/>
    <w:rsid w:val="006E432C"/>
    <w:rsid w:val="006E43A7"/>
    <w:rsid w:val="006E4B11"/>
    <w:rsid w:val="006E727F"/>
    <w:rsid w:val="006F1EC1"/>
    <w:rsid w:val="006F5744"/>
    <w:rsid w:val="00734334"/>
    <w:rsid w:val="007422A8"/>
    <w:rsid w:val="00744CD0"/>
    <w:rsid w:val="00757201"/>
    <w:rsid w:val="007708E9"/>
    <w:rsid w:val="007904D9"/>
    <w:rsid w:val="007A0679"/>
    <w:rsid w:val="007A24E7"/>
    <w:rsid w:val="007A4B58"/>
    <w:rsid w:val="007B4EC6"/>
    <w:rsid w:val="007C5DA2"/>
    <w:rsid w:val="007D26F7"/>
    <w:rsid w:val="007D4C6D"/>
    <w:rsid w:val="007F2579"/>
    <w:rsid w:val="008003EF"/>
    <w:rsid w:val="00803EF0"/>
    <w:rsid w:val="00821ED0"/>
    <w:rsid w:val="00824D63"/>
    <w:rsid w:val="00826A7B"/>
    <w:rsid w:val="00835EC1"/>
    <w:rsid w:val="00843FF2"/>
    <w:rsid w:val="0084445F"/>
    <w:rsid w:val="008453AE"/>
    <w:rsid w:val="00856752"/>
    <w:rsid w:val="008644CF"/>
    <w:rsid w:val="008957CB"/>
    <w:rsid w:val="0089674C"/>
    <w:rsid w:val="008A5760"/>
    <w:rsid w:val="008B7E20"/>
    <w:rsid w:val="008C26F9"/>
    <w:rsid w:val="008D18A5"/>
    <w:rsid w:val="008D3077"/>
    <w:rsid w:val="008E67FE"/>
    <w:rsid w:val="008F4215"/>
    <w:rsid w:val="00911A65"/>
    <w:rsid w:val="00912BA6"/>
    <w:rsid w:val="00924070"/>
    <w:rsid w:val="0092528A"/>
    <w:rsid w:val="00930216"/>
    <w:rsid w:val="00933D57"/>
    <w:rsid w:val="00936018"/>
    <w:rsid w:val="00940676"/>
    <w:rsid w:val="00945223"/>
    <w:rsid w:val="0094719F"/>
    <w:rsid w:val="009473C5"/>
    <w:rsid w:val="00965B10"/>
    <w:rsid w:val="009710B0"/>
    <w:rsid w:val="00993467"/>
    <w:rsid w:val="009A0E8B"/>
    <w:rsid w:val="009D68F6"/>
    <w:rsid w:val="009E0ACC"/>
    <w:rsid w:val="009F517F"/>
    <w:rsid w:val="00A02CE8"/>
    <w:rsid w:val="00A310F6"/>
    <w:rsid w:val="00A40D20"/>
    <w:rsid w:val="00A42811"/>
    <w:rsid w:val="00A439CA"/>
    <w:rsid w:val="00A44867"/>
    <w:rsid w:val="00A4552D"/>
    <w:rsid w:val="00A57CBC"/>
    <w:rsid w:val="00A6156E"/>
    <w:rsid w:val="00A63AC3"/>
    <w:rsid w:val="00A76C37"/>
    <w:rsid w:val="00A92553"/>
    <w:rsid w:val="00A95B16"/>
    <w:rsid w:val="00A97433"/>
    <w:rsid w:val="00AB0D16"/>
    <w:rsid w:val="00AC0F9D"/>
    <w:rsid w:val="00AC4FAF"/>
    <w:rsid w:val="00AD6E86"/>
    <w:rsid w:val="00AE55EC"/>
    <w:rsid w:val="00AE5BD8"/>
    <w:rsid w:val="00AF08B3"/>
    <w:rsid w:val="00AF0DDB"/>
    <w:rsid w:val="00AF2301"/>
    <w:rsid w:val="00B03BE7"/>
    <w:rsid w:val="00B2729E"/>
    <w:rsid w:val="00B33797"/>
    <w:rsid w:val="00B41B83"/>
    <w:rsid w:val="00B7115C"/>
    <w:rsid w:val="00B7496C"/>
    <w:rsid w:val="00B800B7"/>
    <w:rsid w:val="00B81B40"/>
    <w:rsid w:val="00B81BCF"/>
    <w:rsid w:val="00B9387A"/>
    <w:rsid w:val="00BB1208"/>
    <w:rsid w:val="00BB413B"/>
    <w:rsid w:val="00BB6011"/>
    <w:rsid w:val="00BC0B56"/>
    <w:rsid w:val="00BC63ED"/>
    <w:rsid w:val="00BD6345"/>
    <w:rsid w:val="00BE4649"/>
    <w:rsid w:val="00BF4B19"/>
    <w:rsid w:val="00BF534D"/>
    <w:rsid w:val="00C07CCF"/>
    <w:rsid w:val="00C1037E"/>
    <w:rsid w:val="00C11299"/>
    <w:rsid w:val="00C14011"/>
    <w:rsid w:val="00C15317"/>
    <w:rsid w:val="00C1648A"/>
    <w:rsid w:val="00C1737D"/>
    <w:rsid w:val="00C21C37"/>
    <w:rsid w:val="00C23499"/>
    <w:rsid w:val="00C27A83"/>
    <w:rsid w:val="00C42400"/>
    <w:rsid w:val="00C54731"/>
    <w:rsid w:val="00C74A3A"/>
    <w:rsid w:val="00C83B4B"/>
    <w:rsid w:val="00C86675"/>
    <w:rsid w:val="00CB381A"/>
    <w:rsid w:val="00CB610C"/>
    <w:rsid w:val="00CB7FC6"/>
    <w:rsid w:val="00CC08B8"/>
    <w:rsid w:val="00CC169E"/>
    <w:rsid w:val="00CC532D"/>
    <w:rsid w:val="00CD4065"/>
    <w:rsid w:val="00CD4D48"/>
    <w:rsid w:val="00CD5D6D"/>
    <w:rsid w:val="00CF0903"/>
    <w:rsid w:val="00CF7BC1"/>
    <w:rsid w:val="00D0115E"/>
    <w:rsid w:val="00D01B79"/>
    <w:rsid w:val="00D05389"/>
    <w:rsid w:val="00D05A69"/>
    <w:rsid w:val="00D404E2"/>
    <w:rsid w:val="00D44536"/>
    <w:rsid w:val="00D477ED"/>
    <w:rsid w:val="00D53968"/>
    <w:rsid w:val="00D5409D"/>
    <w:rsid w:val="00D6337A"/>
    <w:rsid w:val="00D7642B"/>
    <w:rsid w:val="00D85E0C"/>
    <w:rsid w:val="00D971CD"/>
    <w:rsid w:val="00DA0611"/>
    <w:rsid w:val="00DB0186"/>
    <w:rsid w:val="00DC6A28"/>
    <w:rsid w:val="00DD26ED"/>
    <w:rsid w:val="00DF4096"/>
    <w:rsid w:val="00DF64F5"/>
    <w:rsid w:val="00E00FDA"/>
    <w:rsid w:val="00E01BE6"/>
    <w:rsid w:val="00E03799"/>
    <w:rsid w:val="00E06EFA"/>
    <w:rsid w:val="00E07E7E"/>
    <w:rsid w:val="00E163F0"/>
    <w:rsid w:val="00E16FD8"/>
    <w:rsid w:val="00E22899"/>
    <w:rsid w:val="00E22A91"/>
    <w:rsid w:val="00E43354"/>
    <w:rsid w:val="00E506A3"/>
    <w:rsid w:val="00E52944"/>
    <w:rsid w:val="00E5365F"/>
    <w:rsid w:val="00E72B26"/>
    <w:rsid w:val="00E7725E"/>
    <w:rsid w:val="00E84DA2"/>
    <w:rsid w:val="00E92350"/>
    <w:rsid w:val="00E927E1"/>
    <w:rsid w:val="00E97D59"/>
    <w:rsid w:val="00EC7E8C"/>
    <w:rsid w:val="00EE47EB"/>
    <w:rsid w:val="00EF24F5"/>
    <w:rsid w:val="00EF4CB5"/>
    <w:rsid w:val="00EF7A9E"/>
    <w:rsid w:val="00F14B99"/>
    <w:rsid w:val="00F15471"/>
    <w:rsid w:val="00F21872"/>
    <w:rsid w:val="00F23FEE"/>
    <w:rsid w:val="00F414D0"/>
    <w:rsid w:val="00F44930"/>
    <w:rsid w:val="00F46553"/>
    <w:rsid w:val="00F4762D"/>
    <w:rsid w:val="00F52646"/>
    <w:rsid w:val="00F535BD"/>
    <w:rsid w:val="00F57F43"/>
    <w:rsid w:val="00F67C4F"/>
    <w:rsid w:val="00F72715"/>
    <w:rsid w:val="00F75A21"/>
    <w:rsid w:val="00F82FB3"/>
    <w:rsid w:val="00F84F01"/>
    <w:rsid w:val="00F851CE"/>
    <w:rsid w:val="00F9126E"/>
    <w:rsid w:val="00FA12D6"/>
    <w:rsid w:val="00FA1C8A"/>
    <w:rsid w:val="00FA30CF"/>
    <w:rsid w:val="00FB783A"/>
    <w:rsid w:val="00FD2F0A"/>
    <w:rsid w:val="00FF2161"/>
    <w:rsid w:val="00FF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C08C7-7606-4817-ACEA-54DE1490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EC6"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B4EC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4D0C29"/>
    <w:pPr>
      <w:suppressAutoHyphens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EC6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paragraph" w:styleId="a3">
    <w:name w:val="caption"/>
    <w:basedOn w:val="a"/>
    <w:qFormat/>
    <w:rsid w:val="007B4E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4">
    <w:name w:val="Title"/>
    <w:basedOn w:val="a"/>
    <w:next w:val="a"/>
    <w:link w:val="a5"/>
    <w:uiPriority w:val="10"/>
    <w:qFormat/>
    <w:rsid w:val="007B4EC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B4EC6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a6">
    <w:name w:val="No Spacing"/>
    <w:uiPriority w:val="1"/>
    <w:qFormat/>
    <w:rsid w:val="007B4EC6"/>
    <w:pPr>
      <w:suppressAutoHyphens/>
    </w:pPr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7">
    <w:name w:val="Normal (Web)"/>
    <w:basedOn w:val="a"/>
    <w:uiPriority w:val="99"/>
    <w:unhideWhenUsed/>
    <w:rsid w:val="00321BC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21BC4"/>
  </w:style>
  <w:style w:type="character" w:customStyle="1" w:styleId="20">
    <w:name w:val="Заголовок 2 Знак"/>
    <w:basedOn w:val="a0"/>
    <w:link w:val="2"/>
    <w:uiPriority w:val="9"/>
    <w:rsid w:val="004D0C29"/>
    <w:rPr>
      <w:rFonts w:eastAsia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D0C29"/>
    <w:rPr>
      <w:rFonts w:eastAsia="Times New Roman"/>
      <w:b/>
      <w:bCs/>
      <w:sz w:val="15"/>
      <w:szCs w:val="15"/>
      <w:lang w:eastAsia="ru-RU"/>
    </w:rPr>
  </w:style>
  <w:style w:type="table" w:styleId="a8">
    <w:name w:val="Table Grid"/>
    <w:basedOn w:val="a1"/>
    <w:uiPriority w:val="59"/>
    <w:rsid w:val="003D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3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216"/>
    <w:rPr>
      <w:rFonts w:ascii="Tahoma" w:eastAsia="SimSun" w:hAnsi="Tahoma" w:cs="Tahoma"/>
      <w:kern w:val="1"/>
      <w:sz w:val="16"/>
      <w:szCs w:val="16"/>
      <w:lang w:eastAsia="zh-CN"/>
    </w:rPr>
  </w:style>
  <w:style w:type="paragraph" w:customStyle="1" w:styleId="ConsPlusTitle">
    <w:name w:val="ConsPlusTitle"/>
    <w:rsid w:val="00E06EF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b">
    <w:name w:val="List Paragraph"/>
    <w:basedOn w:val="a"/>
    <w:uiPriority w:val="34"/>
    <w:qFormat/>
    <w:rsid w:val="0089674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  <w:style w:type="paragraph" w:styleId="ae">
    <w:name w:val="footer"/>
    <w:basedOn w:val="a"/>
    <w:link w:val="af"/>
    <w:uiPriority w:val="99"/>
    <w:unhideWhenUsed/>
    <w:rsid w:val="0057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71AF8"/>
    <w:rPr>
      <w:rFonts w:ascii="Calibri" w:eastAsia="SimSun" w:hAnsi="Calibri" w:cs="Calibri"/>
      <w:kern w:val="1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4FC5C8-0798-43CD-9E8E-1456C210E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1</Pages>
  <Words>2829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Sotrudnik04</cp:lastModifiedBy>
  <cp:revision>12</cp:revision>
  <cp:lastPrinted>2020-12-14T12:43:00Z</cp:lastPrinted>
  <dcterms:created xsi:type="dcterms:W3CDTF">2018-01-15T13:25:00Z</dcterms:created>
  <dcterms:modified xsi:type="dcterms:W3CDTF">2020-12-14T12:54:00Z</dcterms:modified>
</cp:coreProperties>
</file>