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24"/>
          <w:szCs w:val="24"/>
          <w:u w:val="single"/>
        </w:rPr>
      </w:pPr>
      <w:r>
        <w:rPr>
          <w:rFonts w:ascii="Book Antiqua" w:hAnsi="Book Antiqua"/>
          <w:b/>
          <w:i/>
          <w:sz w:val="24"/>
          <w:szCs w:val="24"/>
          <w:u w:val="single"/>
        </w:rPr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eastAsia="Calibri" w:cs="Calibri" w:ascii="Book Antiqua" w:hAnsi="Book Antiqua"/>
          <w:b/>
          <w:i/>
          <w:color w:val="000000"/>
          <w:kern w:val="0"/>
          <w:sz w:val="40"/>
          <w:szCs w:val="40"/>
          <w:shd w:fill="auto" w:val="clear"/>
          <w:lang w:val="ru-RU" w:eastAsia="ru-RU" w:bidi="ar-SA"/>
        </w:rPr>
        <w:t>16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9216" w:type="dxa"/>
        <w:jc w:val="left"/>
        <w:tblInd w:w="246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424"/>
        <w:gridCol w:w="4791"/>
      </w:tblGrid>
      <w:tr>
        <w:trPr/>
        <w:tc>
          <w:tcPr>
            <w:tcW w:w="4424" w:type="dxa"/>
            <w:tcBorders/>
          </w:tcPr>
          <w:p>
            <w:pPr>
              <w:pStyle w:val="NoSpacing"/>
              <w:widowControl w:val="false"/>
              <w:rPr>
                <w:rFonts w:ascii="Book Antiqua" w:hAnsi="Book Antiqua"/>
              </w:rPr>
            </w:pPr>
            <w:r>
              <w:rPr>
                <w:rFonts w:eastAsia="Calibri" w:cs="Calibri" w:ascii="Book Antiqua" w:hAnsi="Book Antiqua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18.01.</w:t>
            </w:r>
            <w:r>
              <w:rPr>
                <w:rFonts w:ascii="Book Antiqua" w:hAnsi="Book Antiqua"/>
                <w:sz w:val="24"/>
                <w:szCs w:val="24"/>
                <w:shd w:fill="auto" w:val="clear"/>
              </w:rPr>
              <w:t>202</w:t>
            </w:r>
            <w:r>
              <w:rPr>
                <w:rFonts w:eastAsia="Calibri" w:cs="Calibri" w:ascii="Book Antiqua" w:hAnsi="Book Antiqua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п. Кача</w:t>
            </w:r>
          </w:p>
        </w:tc>
      </w:tr>
    </w:tbl>
    <w:p>
      <w:pPr>
        <w:pStyle w:val="Normal"/>
        <w:jc w:val="center"/>
        <w:rPr>
          <w:rFonts w:ascii="Book Antiqua" w:hAnsi="Book Antiqua"/>
          <w:b/>
          <w:b/>
          <w:bCs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bCs/>
          <w:i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color w:val="000000"/>
          <w:sz w:val="24"/>
          <w:szCs w:val="24"/>
          <w:lang w:val="ru-RU"/>
        </w:rPr>
        <w:t xml:space="preserve">Об утверждении Отчётов об исполнении муниципальных программ </w:t>
      </w:r>
      <w:r>
        <w:rPr>
          <w:rFonts w:ascii="Book Antiqua" w:hAnsi="Book Antiqua"/>
          <w:b/>
          <w:i/>
          <w:sz w:val="24"/>
          <w:szCs w:val="24"/>
          <w:lang w:val="ru-RU"/>
        </w:rPr>
        <w:t xml:space="preserve">внутригородского муниципального образования города Севастополя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  <w:sz w:val="24"/>
          <w:szCs w:val="24"/>
          <w:lang w:val="ru-RU"/>
        </w:rPr>
        <w:t>Качинский муниципальный округ за 2021 год.</w:t>
      </w:r>
    </w:p>
    <w:p>
      <w:pPr>
        <w:pStyle w:val="Normal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  <w:lang w:val="ru-RU"/>
        </w:rPr>
        <w:tab/>
        <w:tab/>
      </w:r>
    </w:p>
    <w:p>
      <w:pPr>
        <w:pStyle w:val="Normal"/>
        <w:ind w:left="0" w:right="0" w:firstLine="851"/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  <w:lang w:val="ru-RU" w:eastAsia="ru-RU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Законом города Севастополя «О бюджете города Севастополя на 2018-2020 годы», Законом города Севастополя от 30.12.2014 №102-ЗС «О местном самоуправлении в городе Севастополе», Уставом внутригородского муниципального образования, утвержденным решением Совета Качинского муниципального округа от 19.03.2015 №13, </w:t>
      </w:r>
      <w:r>
        <w:rPr>
          <w:rFonts w:ascii="Book Antiqua" w:hAnsi="Book Antiqua"/>
          <w:b w:val="false"/>
          <w:bCs w:val="false"/>
          <w:sz w:val="24"/>
          <w:szCs w:val="24"/>
          <w:lang w:val="ru-RU" w:eastAsia="ru-RU"/>
        </w:rPr>
        <w:t>Постановлениями местной администрации Качинского муниципального округа от 12.11.2020  №150 «</w:t>
      </w:r>
      <w:r>
        <w:rPr>
          <w:rFonts w:ascii="Book Antiqua" w:hAnsi="Book Antiqua"/>
          <w:b w:val="false"/>
          <w:bCs w:val="false"/>
          <w:color w:val="000000"/>
          <w:sz w:val="24"/>
          <w:szCs w:val="24"/>
          <w:lang w:val="ru-RU" w:eastAsia="ru-RU"/>
        </w:rPr>
        <w:t xml:space="preserve">Об утверждении Перечня муниципальных программ внутригородского муниципального образования города Севастополя Качинский муниципальный округ на 2021 год и </w:t>
      </w:r>
      <w:r>
        <w:rPr>
          <w:rFonts w:ascii="Book Antiqua" w:hAnsi="Book Antiqua"/>
          <w:b w:val="false"/>
          <w:bCs w:val="false"/>
          <w:color w:val="000000"/>
          <w:sz w:val="24"/>
          <w:szCs w:val="24"/>
          <w:lang w:val="ru-RU" w:eastAsia="ru-RU" w:bidi="ru-RU"/>
        </w:rPr>
        <w:t>на плановый период 2022-2023 годов</w:t>
      </w:r>
      <w:r>
        <w:rPr>
          <w:rFonts w:ascii="Book Antiqua" w:hAnsi="Book Antiqua"/>
          <w:b w:val="false"/>
          <w:bCs w:val="false"/>
          <w:color w:val="000000"/>
          <w:sz w:val="24"/>
          <w:szCs w:val="24"/>
          <w:lang w:val="ru-RU" w:eastAsia="ru-RU"/>
        </w:rPr>
        <w:t>»</w:t>
      </w:r>
      <w:r>
        <w:rPr>
          <w:rFonts w:ascii="Book Antiqua" w:hAnsi="Book Antiqua"/>
          <w:b w:val="false"/>
          <w:bCs w:val="false"/>
          <w:sz w:val="24"/>
          <w:szCs w:val="24"/>
          <w:lang w:val="ru-RU" w:eastAsia="ru-RU"/>
        </w:rPr>
        <w:t>,</w:t>
      </w:r>
      <w:r>
        <w:rPr>
          <w:rFonts w:ascii="Book Antiqua" w:hAnsi="Book Antiqua"/>
          <w:b w:val="false"/>
          <w:bCs w:val="fals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ru-RU" w:eastAsia="ru-RU"/>
        </w:rPr>
        <w:t>Постановлением местной администрации Качинского муниципального округа города Севастополя от 23.11.2016 № 51-МА "Об утверждении Порядка разработки, реализации и оценки эффективности муниципальных программ во внутригородском муниципальном образовании города Севастополя Качинский муниципальный округ"</w:t>
      </w:r>
    </w:p>
    <w:p>
      <w:pPr>
        <w:pStyle w:val="Normal"/>
        <w:ind w:left="0" w:right="0" w:firstLine="851"/>
        <w:jc w:val="center"/>
        <w:rPr>
          <w:rFonts w:ascii="Book Antiqua" w:hAnsi="Book Antiqua"/>
          <w:b/>
          <w:b/>
          <w:color w:val="000000"/>
          <w:sz w:val="20"/>
          <w:szCs w:val="20"/>
          <w:lang w:val="ru-RU" w:eastAsia="ru-RU"/>
        </w:rPr>
      </w:pPr>
      <w:r>
        <w:rPr>
          <w:rFonts w:ascii="Book Antiqua" w:hAnsi="Book Antiqua"/>
          <w:b/>
          <w:color w:val="000000"/>
          <w:sz w:val="20"/>
          <w:szCs w:val="20"/>
          <w:lang w:val="ru-RU" w:eastAsia="ru-RU"/>
        </w:rPr>
      </w:r>
    </w:p>
    <w:p>
      <w:pPr>
        <w:pStyle w:val="Normal"/>
        <w:ind w:left="0" w:right="0" w:firstLine="851"/>
        <w:jc w:val="center"/>
        <w:rPr>
          <w:rFonts w:ascii="Book Antiqua" w:hAnsi="Book Antiqua"/>
        </w:rPr>
      </w:pPr>
      <w:r>
        <w:rPr>
          <w:rFonts w:ascii="Book Antiqua" w:hAnsi="Book Antiqua"/>
          <w:b/>
          <w:color w:val="000000"/>
          <w:sz w:val="28"/>
          <w:szCs w:val="28"/>
          <w:lang w:val="ru-RU" w:eastAsia="ru-RU"/>
        </w:rPr>
        <w:t>Местная администрация Качинского муниципального округа</w:t>
      </w:r>
      <w:r>
        <w:rPr>
          <w:rFonts w:ascii="Book Antiqua" w:hAnsi="Book Antiqua"/>
          <w:b/>
          <w:spacing w:val="-4"/>
          <w:sz w:val="24"/>
          <w:szCs w:val="24"/>
          <w:lang w:val="ru-RU"/>
        </w:rPr>
        <w:t xml:space="preserve">                          </w:t>
      </w:r>
    </w:p>
    <w:p>
      <w:pPr>
        <w:pStyle w:val="ListParagraph"/>
        <w:ind w:left="1080" w:right="61" w:hanging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spacing w:val="-4"/>
          <w:sz w:val="24"/>
          <w:szCs w:val="24"/>
          <w:lang w:val="ru-RU"/>
        </w:rPr>
        <w:t>ПОСТАНОВЛЯЕТ: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ind w:left="0" w:right="0" w:firstLine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Утвердить Отчёт об исполнении муниципальной программы </w:t>
      </w:r>
      <w:r>
        <w:rPr>
          <w:rFonts w:ascii="Book Antiqua" w:hAnsi="Book Antiqua"/>
          <w:sz w:val="24"/>
          <w:szCs w:val="24"/>
          <w:lang w:val="ru-RU"/>
        </w:rPr>
        <w:t>«Информационное общество»</w:t>
      </w: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 за 2021 год. (Приложение 1). 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ind w:left="0" w:right="0" w:firstLine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плановые значения целевых показателей программы «Информационное общество» за 2021 год. (Приложение 2).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ind w:left="0" w:right="0" w:firstLine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Утвердить Отчёт об исполнении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  за 2021 год. (Приложение 3). 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ind w:left="0" w:right="0" w:firstLine="709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плановые значения целевых показателей программы «Благоустройство территории внутригородского муниципального образования города Севастополя Качинский муниципальный округ» за 2021 год. (Приложение 4).</w:t>
      </w:r>
    </w:p>
    <w:p>
      <w:pPr>
        <w:pStyle w:val="ListParagraph"/>
        <w:numPr>
          <w:ilvl w:val="0"/>
          <w:numId w:val="1"/>
        </w:numPr>
        <w:ind w:left="142" w:right="0" w:firstLine="567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Отчёт об исполнении муниципальной программы «Развитие культуры во внутригородском муниципальном образовании города Севастополя Качинский муниципальный округ»</w:t>
      </w:r>
      <w:r>
        <w:rPr>
          <w:rFonts w:ascii="Book Antiqua" w:hAnsi="Book Antiqua"/>
          <w:sz w:val="24"/>
          <w:szCs w:val="24"/>
          <w:lang w:val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ru-RU"/>
        </w:rPr>
        <w:t>за 2021 год.  (Приложение 5).</w:t>
      </w:r>
    </w:p>
    <w:p>
      <w:pPr>
        <w:pStyle w:val="ListParagraph"/>
        <w:numPr>
          <w:ilvl w:val="0"/>
          <w:numId w:val="1"/>
        </w:numPr>
        <w:ind w:left="0" w:right="0"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плановые значения целевых показателей программы «Развитие культуры во внутригородском муниципальном образовании города Севастополя Качинский муниципальный округ»  за 2021 год. (Приложение 6).</w:t>
      </w:r>
    </w:p>
    <w:p>
      <w:pPr>
        <w:pStyle w:val="ListParagraph"/>
        <w:numPr>
          <w:ilvl w:val="0"/>
          <w:numId w:val="1"/>
        </w:numPr>
        <w:ind w:left="142" w:right="0" w:firstLine="567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Отчёт об исполнении муниципальной программы «Обеспечение антитеррористической и общественной безопасности на территории внутригородского муниципального образования города Севастополя  Качинский муниципальный округ» за  2021 год.  (Приложение 7).</w:t>
      </w:r>
    </w:p>
    <w:p>
      <w:pPr>
        <w:pStyle w:val="ListParagraph"/>
        <w:numPr>
          <w:ilvl w:val="0"/>
          <w:numId w:val="1"/>
        </w:numPr>
        <w:ind w:left="0" w:right="0"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плановые значения целевых показателей программы «Обеспечение антитеррористической и общественной безопасности на территории внутригородского муниципального образования города Севастополя  Качинский муниципальный округ» за 2021 год.  (Приложение 8).</w:t>
      </w:r>
    </w:p>
    <w:p>
      <w:pPr>
        <w:pStyle w:val="ListParagraph"/>
        <w:numPr>
          <w:ilvl w:val="0"/>
          <w:numId w:val="1"/>
        </w:numPr>
        <w:ind w:left="142" w:right="0" w:firstLine="567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Отчёт об исполнении муниципальной программы «Развитие физической культуры и спорта во внутригородском муниципальном образовании города Севастополя Качинский муниципальный округ» за 2021 год.  (Приложение 9).</w:t>
      </w:r>
    </w:p>
    <w:p>
      <w:pPr>
        <w:pStyle w:val="ListParagraph"/>
        <w:numPr>
          <w:ilvl w:val="0"/>
          <w:numId w:val="1"/>
        </w:numPr>
        <w:ind w:left="0" w:right="0"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плановые значения целевых показателей программы «Развитие физической культуры и спорта во внутригородском муниципальном образовании города Севастополя Качинский муниципальный округ» за  2021 год. (Приложение 10).</w:t>
      </w:r>
    </w:p>
    <w:p>
      <w:pPr>
        <w:pStyle w:val="ListParagraph"/>
        <w:numPr>
          <w:ilvl w:val="0"/>
          <w:numId w:val="1"/>
        </w:numPr>
        <w:ind w:left="0" w:right="0"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Отчёт об исполнении муниципальной программы «Управление и содержание муниципального имущества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bCs/>
          <w:color w:val="000000"/>
          <w:sz w:val="24"/>
          <w:szCs w:val="24"/>
          <w:lang w:val="ru-RU" w:bidi="ru-RU"/>
        </w:rPr>
        <w:t>»</w:t>
      </w: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  за 2021 год. (Приложение11). </w:t>
      </w:r>
    </w:p>
    <w:p>
      <w:pPr>
        <w:pStyle w:val="ListParagraph"/>
        <w:numPr>
          <w:ilvl w:val="0"/>
          <w:numId w:val="1"/>
        </w:numPr>
        <w:ind w:left="0" w:right="0"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Утвердить плановые значения целевых показателей программы«Управление и содержание муниципального имущества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bCs/>
          <w:color w:val="000000"/>
          <w:sz w:val="24"/>
          <w:szCs w:val="24"/>
          <w:lang w:val="ru-RU" w:bidi="ru-RU"/>
        </w:rPr>
        <w:t>»</w:t>
      </w: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 за 2021 год. (Приложение 12).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ind w:left="0" w:right="0" w:firstLine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  <w:lang w:val="ru-RU"/>
        </w:rPr>
        <w:t>Обнародовать настоящее постановление на сайте внутригородского муниципального образования города Севастополя Качинский муниципальный округ, информационных стендах внутригородского муниципального образования города Севастополя Качинский муниципальный округ.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ind w:left="0" w:right="0" w:firstLine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Настоящее постановление вступает в силу со дня его обнародования. 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ind w:left="0" w:right="0" w:firstLine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/>
        </w:rPr>
      </w:r>
    </w:p>
    <w:p>
      <w:pPr>
        <w:pStyle w:val="Normal"/>
        <w:ind w:left="0" w:right="0" w:firstLine="426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Глава ВМО Качинский МО, исполняющий </w:t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полномочия Председателя Совета, </w:t>
      </w:r>
    </w:p>
    <w:p>
      <w:pPr>
        <w:pStyle w:val="Normal"/>
        <w:tabs>
          <w:tab w:val="clear" w:pos="720"/>
          <w:tab w:val="left" w:pos="6663" w:leader="none"/>
        </w:tabs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Глава местной администрации               </w:t>
        <w:tab/>
        <w:t xml:space="preserve">    </w:t>
        <w:tab/>
        <w:t xml:space="preserve">         Н.М. Герасим</w:t>
      </w:r>
    </w:p>
    <w:p>
      <w:pPr>
        <w:pStyle w:val="Normal"/>
        <w:ind w:left="0" w:right="0" w:firstLine="5812"/>
        <w:jc w:val="both"/>
        <w:rPr>
          <w:rFonts w:ascii="Book Antiqua" w:hAnsi="Book Antiqua" w:eastAsia="Calibri"/>
          <w:b/>
          <w:b/>
          <w:i/>
          <w:i/>
          <w:color w:val="000000"/>
          <w:sz w:val="28"/>
          <w:szCs w:val="28"/>
          <w:lang w:val="ru-RU"/>
        </w:rPr>
      </w:pPr>
      <w:r>
        <w:rPr>
          <w:rFonts w:eastAsia="Calibri" w:ascii="Book Antiqua" w:hAnsi="Book Antiqua"/>
          <w:b/>
          <w:i/>
          <w:color w:val="000000"/>
          <w:sz w:val="28"/>
          <w:szCs w:val="28"/>
          <w:lang w:val="ru-RU"/>
        </w:rPr>
      </w:r>
    </w:p>
    <w:p>
      <w:pPr>
        <w:pStyle w:val="Normal"/>
        <w:ind w:left="0" w:right="0" w:firstLine="5812"/>
        <w:rPr>
          <w:rFonts w:ascii="Book Antiqua" w:hAnsi="Book Antiqua" w:eastAsia="Calibri"/>
          <w:sz w:val="16"/>
          <w:szCs w:val="16"/>
          <w:lang w:val="ru-RU"/>
        </w:rPr>
      </w:pPr>
      <w:r>
        <w:rPr>
          <w:rFonts w:eastAsia="Calibri" w:ascii="Book Antiqua" w:hAnsi="Book Antiqua"/>
          <w:sz w:val="16"/>
          <w:szCs w:val="16"/>
          <w:lang w:val="ru-RU"/>
        </w:rPr>
      </w:r>
    </w:p>
    <w:p>
      <w:pPr>
        <w:pStyle w:val="Normal"/>
        <w:ind w:left="0" w:right="0" w:firstLine="5812"/>
        <w:rPr>
          <w:rFonts w:ascii="Book Antiqua" w:hAnsi="Book Antiqua" w:eastAsia="Calibri"/>
          <w:sz w:val="16"/>
          <w:szCs w:val="16"/>
          <w:lang w:val="ru-RU"/>
        </w:rPr>
      </w:pPr>
      <w:r>
        <w:rPr>
          <w:rFonts w:eastAsia="Calibri" w:ascii="Book Antiqua" w:hAnsi="Book Antiqua"/>
          <w:sz w:val="16"/>
          <w:szCs w:val="16"/>
          <w:lang w:val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>Приложение 1</w:t>
      </w:r>
    </w:p>
    <w:p>
      <w:pPr>
        <w:pStyle w:val="Normal"/>
        <w:ind w:left="5812" w:right="0" w:hanging="0"/>
        <w:rPr/>
      </w:pPr>
      <w:r>
        <w:rPr>
          <w:rFonts w:eastAsia="Calibri" w:ascii="Book Antiqua" w:hAnsi="Book Antiqua"/>
          <w:sz w:val="16"/>
          <w:szCs w:val="16"/>
          <w:lang w:val="ru-RU"/>
        </w:rPr>
        <w:t xml:space="preserve">к Постановлению местной администрации Качинского муниципального округа от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>.</w:t>
      </w:r>
      <w:r>
        <w:rPr>
          <w:rFonts w:eastAsia="Calibri" w:ascii="Book Antiqua" w:hAnsi="Book Antiqua"/>
          <w:sz w:val="16"/>
          <w:szCs w:val="16"/>
          <w:shd w:fill="auto" w:val="clear"/>
          <w:lang w:val="en-US"/>
        </w:rPr>
        <w:t>01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>.202</w:t>
      </w:r>
      <w:r>
        <w:rPr>
          <w:rFonts w:eastAsia="Calibri" w:ascii="Book Antiqua" w:hAnsi="Book Antiqua"/>
          <w:sz w:val="16"/>
          <w:szCs w:val="16"/>
          <w:shd w:fill="auto" w:val="clear"/>
          <w:lang w:val="en-US"/>
        </w:rPr>
        <w:t>2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г. </w:t>
      </w:r>
    </w:p>
    <w:p>
      <w:pPr>
        <w:pStyle w:val="Normal"/>
        <w:ind w:left="5812" w:right="0" w:hanging="0"/>
        <w:rPr/>
      </w:pP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МА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«Об утверждении Отчётов об исполнении муници</w:t>
      </w:r>
      <w:r>
        <w:rPr>
          <w:rFonts w:eastAsia="Calibri" w:ascii="Book Antiqua" w:hAnsi="Book Antiqua"/>
          <w:sz w:val="16"/>
          <w:szCs w:val="16"/>
          <w:lang w:val="ru-RU"/>
        </w:rPr>
        <w:t>пальных програ</w:t>
      </w:r>
      <w:r>
        <w:rPr>
          <w:rFonts w:eastAsia="Calibri" w:cs="Mangal" w:ascii="Book Antiqua" w:hAnsi="Book Antiqua"/>
          <w:color w:val="auto"/>
          <w:kern w:val="2"/>
          <w:sz w:val="16"/>
          <w:szCs w:val="16"/>
          <w:lang w:val="ru-RU" w:eastAsia="zh-CN" w:bidi="hi-IN"/>
        </w:rPr>
        <w:t xml:space="preserve">мм внутригородского муниципального образования города Севастополя Качинский муниципальный округ за 2021 год»                                          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</w:t>
      </w:r>
    </w:p>
    <w:p>
      <w:pPr>
        <w:pStyle w:val="Normal"/>
        <w:jc w:val="center"/>
        <w:rPr>
          <w:rFonts w:eastAsia="Calibri"/>
          <w:b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eastAsia="Calibri"/>
          <w:b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Отчёт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Об исполнении муниципальной программы «Информационное общество» </w:t>
      </w:r>
      <w:r>
        <w:rPr>
          <w:rFonts w:eastAsia="Calibri" w:cs="Mangal" w:ascii="Book Antiqua" w:hAnsi="Book Antiqua"/>
          <w:b/>
          <w:color w:val="auto"/>
          <w:kern w:val="2"/>
          <w:sz w:val="28"/>
          <w:szCs w:val="28"/>
          <w:lang w:val="ru-RU" w:eastAsia="zh-CN" w:bidi="hi-IN"/>
        </w:rPr>
        <w:t>за 2021 год.</w:t>
      </w:r>
    </w:p>
    <w:p>
      <w:pPr>
        <w:pStyle w:val="Normal"/>
        <w:jc w:val="center"/>
        <w:rPr>
          <w:rFonts w:ascii="Book Antiqua" w:hAnsi="Book Antiqua" w:eastAsia="Calibri"/>
          <w:b/>
          <w:b/>
          <w:sz w:val="28"/>
          <w:szCs w:val="28"/>
          <w:lang w:val="ru-RU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4"/>
          <w:szCs w:val="24"/>
          <w:lang w:val="ru-RU"/>
        </w:rPr>
        <w:t>Использование бюджетных ассигнований бюджета Качинского муниципального образования города Севастополя Качинский муниципальный округ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lang w:val="ru-RU"/>
        </w:rPr>
        <w:t>Тыс.</w:t>
      </w:r>
      <w:r>
        <w:rPr>
          <w:rFonts w:eastAsia="Calibri" w:ascii="Book Antiqua" w:hAnsi="Book Antiqua"/>
        </w:rPr>
        <w:t>руб.</w:t>
      </w:r>
    </w:p>
    <w:tbl>
      <w:tblPr>
        <w:tblW w:w="10065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2110"/>
        <w:gridCol w:w="1001"/>
        <w:gridCol w:w="1416"/>
        <w:gridCol w:w="2421"/>
      </w:tblGrid>
      <w:tr>
        <w:trPr>
          <w:trHeight w:val="676" w:hRule="atLeast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Январь-</w:t>
            </w: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декабрь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% исполнения</w:t>
            </w:r>
          </w:p>
        </w:tc>
      </w:tr>
      <w:tr>
        <w:trPr>
          <w:trHeight w:val="585" w:hRule="atLeast"/>
        </w:trPr>
        <w:tc>
          <w:tcPr>
            <w:tcW w:w="3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</w:tr>
      <w:tr>
        <w:trPr>
          <w:trHeight w:val="195" w:hRule="atLeast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«Информационное общество»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shd w:fill="auto" w:val="clear"/>
                <w:lang w:val="en-US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en-US" w:eastAsia="zh-CN" w:bidi="hi-IN"/>
              </w:rPr>
              <w:t>30,00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100</w:t>
            </w:r>
          </w:p>
        </w:tc>
      </w:tr>
      <w:tr>
        <w:trPr>
          <w:trHeight w:val="148" w:hRule="atLeast"/>
        </w:trPr>
        <w:tc>
          <w:tcPr>
            <w:tcW w:w="3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shd w:fill="auto" w:val="clear"/>
                <w:lang w:val="en-US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en-US" w:eastAsia="zh-CN" w:bidi="hi-IN"/>
              </w:rPr>
              <w:t>30,00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100</w:t>
            </w:r>
          </w:p>
        </w:tc>
      </w:tr>
      <w:tr>
        <w:trPr>
          <w:trHeight w:val="1334" w:hRule="atLeast"/>
        </w:trPr>
        <w:tc>
          <w:tcPr>
            <w:tcW w:w="3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Иные 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</w:tr>
    </w:tbl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8"/>
          <w:szCs w:val="28"/>
          <w:lang w:val="ru-RU"/>
        </w:rPr>
        <w:t xml:space="preserve"> </w:t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lang w:val="ru-RU"/>
        </w:rPr>
      </w:pPr>
      <w:r>
        <w:rPr>
          <w:rFonts w:eastAsia="Calibri" w:ascii="Book Antiqua" w:hAnsi="Book Antiqua"/>
          <w:sz w:val="24"/>
          <w:szCs w:val="24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lang w:val="ru-RU"/>
        </w:rPr>
        <w:t>Аналитическая записка</w:t>
      </w:r>
    </w:p>
    <w:p>
      <w:pPr>
        <w:pStyle w:val="Normal"/>
        <w:jc w:val="center"/>
        <w:rPr>
          <w:rFonts w:ascii="Book Antiqua" w:hAnsi="Book Antiqua" w:eastAsia="Calibri"/>
          <w:sz w:val="28"/>
          <w:szCs w:val="28"/>
          <w:lang w:val="ru-RU"/>
        </w:rPr>
      </w:pPr>
      <w:r>
        <w:rPr>
          <w:rFonts w:eastAsia="Calibri" w:ascii="Book Antiqua" w:hAnsi="Book Antiqua"/>
          <w:sz w:val="28"/>
          <w:szCs w:val="28"/>
          <w:lang w:val="ru-RU"/>
        </w:rPr>
      </w:r>
    </w:p>
    <w:p>
      <w:pPr>
        <w:pStyle w:val="Normal"/>
        <w:ind w:left="0" w:right="0" w:firstLine="709"/>
        <w:jc w:val="both"/>
        <w:rPr/>
      </w:pP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 xml:space="preserve">В течение отчетного периода за счет средств муниципальной программы были оплачены расходы на </w:t>
      </w:r>
      <w:r>
        <w:rPr>
          <w:rFonts w:ascii="Book Antiqua" w:hAnsi="Book Antiqua"/>
          <w:sz w:val="24"/>
          <w:szCs w:val="24"/>
          <w:shd w:fill="auto" w:val="clear"/>
          <w:lang w:val="ru-RU"/>
        </w:rPr>
        <w:t xml:space="preserve">услуги хостинга 2 590 рублей, был заключен договор 1 бригады скорой помощи на публичные слушания, которые прошли 07 марта 2021 г., на сумму 14 600 рублей. Был произведён </w:t>
      </w: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>ремонт ранее установленных уличных информационных стендов на сумму 12 810 рублей.</w:t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709"/>
        <w:jc w:val="both"/>
        <w:rPr>
          <w:rFonts w:ascii="Book Antiqua" w:hAnsi="Book Antiqua" w:eastAsia="Calibri"/>
          <w:b w:val="false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b w:val="false"/>
          <w:bCs w:val="false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>Приложение 2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auto"/>
          <w:kern w:val="2"/>
          <w:sz w:val="16"/>
          <w:szCs w:val="16"/>
          <w:lang w:val="ru-RU" w:eastAsia="zh-CN" w:bidi="hi-IN"/>
        </w:rPr>
        <w:t xml:space="preserve">к Постановлению местной администрации Качинского муниципального округа от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МА «Об утверждении Отчётов об исполнении муници</w:t>
      </w:r>
      <w:r>
        <w:rPr>
          <w:rFonts w:eastAsia="Calibri" w:cs="Mangal" w:ascii="Book Antiqua" w:hAnsi="Book Antiqua"/>
          <w:color w:val="auto"/>
          <w:kern w:val="2"/>
          <w:sz w:val="16"/>
          <w:szCs w:val="16"/>
          <w:lang w:val="ru-RU" w:eastAsia="zh-CN" w:bidi="hi-IN"/>
        </w:rPr>
        <w:t xml:space="preserve">пальных программ внутригородского муниципального образования города Севастополя Качинский муниципальный округ за 2021 год»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</w:t>
      </w:r>
    </w:p>
    <w:p>
      <w:pPr>
        <w:pStyle w:val="Normal"/>
        <w:shd w:val="clear" w:fill="FFFFFF"/>
        <w:spacing w:lineRule="auto" w:line="276" w:before="0" w:after="15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val="ru-RU" w:eastAsia="ru-RU"/>
        </w:rPr>
        <w:t>Плановые значения целевых показателей (индикаторов) муниципальной программы внутригородского муниципального образования города Севастополя Качинский муниципальный округ «Информационное общество» за 2021 год.</w:t>
      </w:r>
    </w:p>
    <w:tbl>
      <w:tblPr>
        <w:tblW w:w="8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103"/>
        <w:gridCol w:w="1559"/>
        <w:gridCol w:w="1134"/>
        <w:gridCol w:w="993"/>
        <w:gridCol w:w="1100"/>
      </w:tblGrid>
      <w:tr>
        <w:trPr/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Плановые значения целевого показателя</w:t>
            </w:r>
          </w:p>
        </w:tc>
      </w:tr>
      <w:tr>
        <w:trPr/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3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факт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%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6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Число потенциальных посетителей сайта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2228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Book Antiqua" w:hAnsi="Book Antiqua"/>
                <w:color w:val="auto"/>
                <w:kern w:val="0"/>
                <w:sz w:val="22"/>
                <w:szCs w:val="22"/>
                <w:lang w:val="ru-RU" w:eastAsia="ru-RU" w:bidi="ar-SA"/>
              </w:rPr>
              <w:t>9000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Times New Roman"/>
                <w:color w:val="000000"/>
                <w:kern w:val="0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NSimSun" w:cs="Times New Roman" w:ascii="Book Antiqua" w:hAnsi="Book Antiqua"/>
                <w:color w:val="000000"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404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Количество размещенных на сайте Качинского муниципального округа и на информационных стендах официальных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Book Antiqua" w:hAnsi="Book Antiqua"/>
                <w:color w:val="auto"/>
                <w:kern w:val="0"/>
                <w:sz w:val="22"/>
                <w:szCs w:val="22"/>
                <w:lang w:val="ru-RU" w:eastAsia="ru-RU" w:bidi="ar-SA"/>
              </w:rPr>
              <w:t>210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Book Antiqua" w:hAnsi="Book Antiqua"/>
                <w:color w:val="auto"/>
                <w:kern w:val="0"/>
                <w:sz w:val="22"/>
                <w:szCs w:val="22"/>
                <w:lang w:val="ru-RU" w:eastAsia="ru-RU" w:bidi="ar-SA"/>
              </w:rPr>
              <w:t>115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Количество проведенных мероприятий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100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Освоение средств, выделенных для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100</w:t>
            </w:r>
          </w:p>
        </w:tc>
      </w:tr>
    </w:tbl>
    <w:p>
      <w:pPr>
        <w:pStyle w:val="Normal"/>
        <w:ind w:left="0" w:right="0" w:firstLine="5812"/>
        <w:rPr>
          <w:rFonts w:ascii="Book Antiqua" w:hAnsi="Book Antiqua" w:eastAsia="Calibri"/>
          <w:lang w:val="ru-RU"/>
        </w:rPr>
      </w:pPr>
      <w:r>
        <w:rPr>
          <w:rFonts w:eastAsia="Calibri" w:ascii="Book Antiqua" w:hAnsi="Book Antiqua"/>
          <w:lang w:val="ru-RU"/>
        </w:rPr>
      </w:r>
    </w:p>
    <w:p>
      <w:pPr>
        <w:pStyle w:val="Normal"/>
        <w:ind w:left="0" w:right="0" w:firstLine="5812"/>
        <w:rPr>
          <w:rFonts w:ascii="Book Antiqua" w:hAnsi="Book Antiqua" w:eastAsia="Calibri"/>
          <w:sz w:val="16"/>
          <w:szCs w:val="16"/>
          <w:lang w:val="ru-RU"/>
        </w:rPr>
      </w:pPr>
      <w:r>
        <w:rPr>
          <w:rFonts w:eastAsia="Calibri" w:ascii="Book Antiqua" w:hAnsi="Book Antiqua"/>
          <w:sz w:val="16"/>
          <w:szCs w:val="16"/>
          <w:lang w:val="ru-RU"/>
        </w:rPr>
      </w:r>
    </w:p>
    <w:p>
      <w:pPr>
        <w:pStyle w:val="Normal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Глава ВМО Качинский МО, исполняющий </w:t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полномочия Председателя Совета, </w:t>
      </w:r>
    </w:p>
    <w:p>
      <w:pPr>
        <w:pStyle w:val="Normal"/>
        <w:tabs>
          <w:tab w:val="clear" w:pos="720"/>
          <w:tab w:val="left" w:pos="6663" w:leader="none"/>
        </w:tabs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Глава местной администрации               </w:t>
        <w:tab/>
        <w:tab/>
        <w:t xml:space="preserve">             Н.М. Герасим</w:t>
      </w:r>
    </w:p>
    <w:p>
      <w:pPr>
        <w:pStyle w:val="Normal"/>
        <w:ind w:left="0" w:right="0" w:firstLine="5812"/>
        <w:jc w:val="both"/>
        <w:rPr>
          <w:rFonts w:ascii="Book Antiqua" w:hAnsi="Book Antiqua" w:eastAsia="Calibri"/>
          <w:sz w:val="26"/>
          <w:szCs w:val="26"/>
          <w:lang w:val="ru-RU"/>
        </w:rPr>
      </w:pPr>
      <w:r>
        <w:rPr>
          <w:rFonts w:eastAsia="Calibri" w:ascii="Book Antiqua" w:hAnsi="Book Antiqua"/>
          <w:sz w:val="26"/>
          <w:szCs w:val="26"/>
          <w:lang w:val="ru-RU"/>
        </w:rPr>
      </w:r>
    </w:p>
    <w:p>
      <w:pPr>
        <w:pStyle w:val="Normal"/>
        <w:ind w:left="0" w:right="0" w:firstLine="5812"/>
        <w:rPr>
          <w:rFonts w:ascii="Book Antiqua" w:hAnsi="Book Antiqua" w:eastAsia="Calibri"/>
          <w:sz w:val="28"/>
          <w:szCs w:val="28"/>
          <w:lang w:val="ru-RU"/>
        </w:rPr>
      </w:pPr>
      <w:r>
        <w:rPr>
          <w:rFonts w:eastAsia="Calibri" w:ascii="Book Antiqua" w:hAnsi="Book Antiqua"/>
          <w:sz w:val="28"/>
          <w:szCs w:val="28"/>
          <w:lang w:val="ru-RU"/>
        </w:rPr>
      </w:r>
    </w:p>
    <w:p>
      <w:pPr>
        <w:pStyle w:val="Normal"/>
        <w:ind w:left="0" w:right="0" w:firstLine="5812"/>
        <w:rPr>
          <w:rFonts w:ascii="Book Antiqua" w:hAnsi="Book Antiqua" w:eastAsia="Calibri"/>
          <w:sz w:val="28"/>
          <w:szCs w:val="28"/>
          <w:lang w:val="ru-RU"/>
        </w:rPr>
      </w:pPr>
      <w:r>
        <w:rPr>
          <w:rFonts w:eastAsia="Calibri" w:ascii="Book Antiqua" w:hAnsi="Book Antiqua"/>
          <w:sz w:val="28"/>
          <w:szCs w:val="28"/>
          <w:lang w:val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>Приложение 3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>.</w:t>
      </w:r>
      <w:r>
        <w:rPr>
          <w:rFonts w:eastAsia="Calibri" w:ascii="Book Antiqua" w:hAnsi="Book Antiqua"/>
          <w:sz w:val="16"/>
          <w:szCs w:val="16"/>
          <w:shd w:fill="auto" w:val="clear"/>
          <w:lang w:val="en-US"/>
        </w:rPr>
        <w:t>01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>.202</w:t>
      </w:r>
      <w:r>
        <w:rPr>
          <w:rFonts w:eastAsia="Calibri" w:ascii="Book Antiqua" w:hAnsi="Book Antiqua"/>
          <w:sz w:val="16"/>
          <w:szCs w:val="16"/>
          <w:shd w:fill="auto" w:val="clear"/>
          <w:lang w:val="en-US"/>
        </w:rPr>
        <w:t>2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МА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«Об утверждении Отчётов об исполнении муниципальных програ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мм внутригородского муниципального образования города Севастополя Качинский муниципальный округ за 2021 год»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                                                                                       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shd w:fill="auto" w:val="clear"/>
          <w:lang w:val="ru-RU"/>
        </w:rPr>
        <w:t xml:space="preserve">Отчёт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shd w:fill="auto" w:val="clear"/>
          <w:lang w:val="ru-RU"/>
        </w:rPr>
        <w:t>Об исполнении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  за 2021 год.</w:t>
      </w:r>
    </w:p>
    <w:p>
      <w:pPr>
        <w:pStyle w:val="Normal"/>
        <w:jc w:val="center"/>
        <w:rPr>
          <w:rFonts w:ascii="Book Antiqua" w:hAnsi="Book Antiqua" w:eastAsia="Calibri"/>
          <w:b/>
          <w:b/>
          <w:sz w:val="28"/>
          <w:szCs w:val="28"/>
          <w:shd w:fill="auto" w:val="clear"/>
          <w:lang w:val="ru-RU"/>
        </w:rPr>
      </w:pPr>
      <w:r>
        <w:rPr>
          <w:rFonts w:eastAsia="Calibri" w:ascii="Book Antiqua" w:hAnsi="Book Antiqua"/>
          <w:b/>
          <w:sz w:val="28"/>
          <w:szCs w:val="28"/>
          <w:shd w:fill="auto" w:val="clear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4"/>
          <w:szCs w:val="24"/>
          <w:shd w:fill="auto" w:val="clear"/>
          <w:lang w:val="ru-RU"/>
        </w:rPr>
        <w:t>Использование бюджетных ассигнований бюджета Качинского муниципального образования города Севастополя Качинский муниципальный округ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shd w:fill="auto" w:val="clear"/>
          <w:lang w:val="ru-RU"/>
        </w:rPr>
        <w:t>Тыс.</w:t>
      </w:r>
      <w:r>
        <w:rPr>
          <w:rFonts w:eastAsia="Calibri" w:ascii="Book Antiqua" w:hAnsi="Book Antiqua"/>
          <w:shd w:fill="auto" w:val="clear"/>
        </w:rPr>
        <w:t>руб.</w:t>
      </w:r>
    </w:p>
    <w:tbl>
      <w:tblPr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1814"/>
        <w:gridCol w:w="1415"/>
        <w:gridCol w:w="1416"/>
        <w:gridCol w:w="2988"/>
      </w:tblGrid>
      <w:tr>
        <w:trPr>
          <w:trHeight w:val="676" w:hRule="atLeast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Источники финансирования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Январь-</w:t>
            </w: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декабрь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% исполнения</w:t>
            </w:r>
          </w:p>
        </w:tc>
      </w:tr>
      <w:tr>
        <w:trPr>
          <w:trHeight w:val="585" w:hRule="atLeast"/>
        </w:trPr>
        <w:tc>
          <w:tcPr>
            <w:tcW w:w="2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план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факт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план</w:t>
            </w:r>
          </w:p>
        </w:tc>
      </w:tr>
      <w:tr>
        <w:trPr>
          <w:trHeight w:val="328" w:hRule="atLeast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«Благоустройство территории внутригородского муниципального образования города Севастополя Качинский муниципальный округ»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35 074,60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34 479,78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98,3</w:t>
            </w:r>
          </w:p>
        </w:tc>
      </w:tr>
      <w:tr>
        <w:trPr>
          <w:trHeight w:val="165" w:hRule="atLeast"/>
        </w:trPr>
        <w:tc>
          <w:tcPr>
            <w:tcW w:w="2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35 074,60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34 479,78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98,3</w:t>
            </w:r>
          </w:p>
        </w:tc>
      </w:tr>
      <w:tr>
        <w:trPr>
          <w:trHeight w:val="1334" w:hRule="atLeast"/>
        </w:trPr>
        <w:tc>
          <w:tcPr>
            <w:tcW w:w="2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0</w:t>
            </w:r>
          </w:p>
        </w:tc>
      </w:tr>
    </w:tbl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8"/>
          <w:szCs w:val="28"/>
          <w:shd w:fill="auto" w:val="clear"/>
          <w:lang w:val="ru-RU"/>
        </w:rPr>
        <w:t xml:space="preserve"> </w:t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rPr>
          <w:rFonts w:ascii="Book Antiqua" w:hAnsi="Book Antiqua" w:eastAsia="Calibri"/>
          <w:sz w:val="24"/>
          <w:szCs w:val="24"/>
          <w:shd w:fill="FFFF00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FFFF00" w:val="clear"/>
          <w:lang w:val="ru-RU"/>
        </w:rPr>
      </w:r>
    </w:p>
    <w:p>
      <w:pPr>
        <w:pStyle w:val="Normal"/>
        <w:jc w:val="center"/>
        <w:rPr>
          <w:rFonts w:ascii="Book Antiqua" w:hAnsi="Book Antiqua" w:eastAsia="Calibri"/>
          <w:sz w:val="24"/>
          <w:szCs w:val="24"/>
          <w:shd w:fill="auto" w:val="clear"/>
          <w:lang w:val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>Аналитическая записка</w:t>
      </w:r>
    </w:p>
    <w:p>
      <w:pPr>
        <w:pStyle w:val="Normal"/>
        <w:ind w:left="0" w:right="0" w:firstLine="709"/>
        <w:jc w:val="both"/>
        <w:rPr/>
      </w:pP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>За отчетный период запланированные средства в объеме 35 074,60</w:t>
      </w:r>
      <w:r>
        <w:rPr>
          <w:rFonts w:ascii="Book Antiqua" w:hAnsi="Book Antiqua"/>
          <w:sz w:val="24"/>
          <w:szCs w:val="24"/>
          <w:shd w:fill="auto" w:val="clear"/>
          <w:lang w:val="ru-RU"/>
        </w:rPr>
        <w:t xml:space="preserve"> </w:t>
      </w: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 xml:space="preserve">тыс.руб. освоены на </w:t>
      </w:r>
      <w:r>
        <w:rPr>
          <w:rFonts w:eastAsia="Calibri" w:cs="Mangal" w:ascii="Book Antiqua" w:hAnsi="Book Antiqua"/>
          <w:color w:val="000000"/>
          <w:kern w:val="2"/>
          <w:sz w:val="24"/>
          <w:szCs w:val="24"/>
          <w:shd w:fill="auto" w:val="clear"/>
          <w:lang w:val="ru-RU" w:eastAsia="zh-CN" w:bidi="hi-IN"/>
        </w:rPr>
        <w:t>98,3</w:t>
      </w: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 xml:space="preserve"> %. </w:t>
      </w:r>
    </w:p>
    <w:tbl>
      <w:tblPr>
        <w:tblW w:w="9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1"/>
        <w:gridCol w:w="1279"/>
        <w:gridCol w:w="1630"/>
        <w:gridCol w:w="1271"/>
      </w:tblGrid>
      <w:tr>
        <w:trPr>
          <w:trHeight w:val="960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b/>
                <w:b/>
                <w:bCs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  <w:shd w:fill="auto" w:val="clear"/>
                <w:lang w:val="ru-RU"/>
              </w:rPr>
              <w:t>Наименование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shd w:fill="auto" w:val="clear"/>
                <w:lang w:val="ru-RU"/>
              </w:rPr>
              <w:t>план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shd w:fill="auto" w:val="clear"/>
                <w:lang w:val="ru-RU"/>
              </w:rPr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shd w:fill="auto" w:val="clear"/>
                <w:lang w:val="ru-RU"/>
              </w:rPr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shd w:fill="auto" w:val="clear"/>
                <w:lang w:val="ru-RU"/>
              </w:rPr>
              <w:t>факт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shd w:fill="auto" w:val="clear"/>
                <w:lang w:val="ru-RU"/>
              </w:rPr>
              <w:t>%</w:t>
            </w:r>
          </w:p>
          <w:p>
            <w:pPr>
              <w:pStyle w:val="Normal"/>
              <w:widowControl w:val="false"/>
              <w:spacing w:lineRule="auto" w:line="360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shd w:fill="auto" w:val="clear"/>
                <w:lang w:val="ru-RU"/>
              </w:rPr>
              <w:t>исполнения</w:t>
            </w:r>
          </w:p>
        </w:tc>
      </w:tr>
      <w:tr>
        <w:trPr>
          <w:trHeight w:val="1260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bCs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  <w:shd w:fill="auto" w:val="clear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  <w:shd w:fill="auto" w:val="clear"/>
                <w:lang w:val="ru-RU"/>
              </w:rPr>
              <w:t xml:space="preserve">2 </w:t>
            </w:r>
            <w:r>
              <w:rPr>
                <w:rFonts w:eastAsia="NSimSun" w:cs="Mangal" w:ascii="Book Antiqua" w:hAnsi="Book Antiqua"/>
                <w:b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645,00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Book Antiqua" w:hAnsi="Book Antiqua" w:eastAsia="NSimSun" w:cs="Mangal"/>
                <w:b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b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2 523,40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108" w:hanging="0"/>
              <w:jc w:val="center"/>
              <w:rPr>
                <w:rFonts w:ascii="Book Antiqua" w:hAnsi="Book Antiqua" w:eastAsia="NSimSun" w:cs="Mangal"/>
                <w:b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b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95,40</w:t>
            </w:r>
          </w:p>
        </w:tc>
      </w:tr>
      <w:tr>
        <w:trPr>
          <w:trHeight w:val="945" w:hRule="atLeast"/>
        </w:trPr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bCs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  <w:shd w:fill="auto" w:val="clear"/>
                <w:lang w:val="ru-RU"/>
              </w:rPr>
              <w:t>Муниципальная программа «Благоустройство территории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</w:rPr>
              <w:t>32 429,60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31 956,38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98,54</w:t>
            </w:r>
          </w:p>
        </w:tc>
      </w:tr>
      <w:tr>
        <w:trPr>
          <w:trHeight w:val="60" w:hRule="atLeast"/>
        </w:trPr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Санитарная очистка территории Качинского муниципального округа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6 674,40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6 673,04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99,98</w:t>
            </w:r>
          </w:p>
        </w:tc>
      </w:tr>
      <w:tr>
        <w:trPr>
          <w:trHeight w:val="60" w:hRule="atLeast"/>
        </w:trPr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5 415,50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5 368,22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99,13</w:t>
            </w:r>
          </w:p>
        </w:tc>
      </w:tr>
      <w:tr>
        <w:trPr>
          <w:trHeight w:val="757" w:hRule="atLeast"/>
        </w:trPr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8 165,30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8 118,31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99,42</w:t>
            </w:r>
          </w:p>
        </w:tc>
      </w:tr>
      <w:tr>
        <w:trPr>
          <w:trHeight w:val="630" w:hRule="atLeast"/>
        </w:trPr>
        <w:tc>
          <w:tcPr>
            <w:tcW w:w="52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946,10</w:t>
            </w:r>
          </w:p>
        </w:tc>
        <w:tc>
          <w:tcPr>
            <w:tcW w:w="163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909,74</w:t>
            </w:r>
          </w:p>
        </w:tc>
        <w:tc>
          <w:tcPr>
            <w:tcW w:w="127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96,16</w:t>
            </w:r>
          </w:p>
        </w:tc>
      </w:tr>
      <w:tr>
        <w:trPr>
          <w:trHeight w:val="75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430,00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399,85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92,99</w:t>
            </w:r>
          </w:p>
        </w:tc>
      </w:tr>
      <w:tr>
        <w:trPr>
          <w:trHeight w:val="630" w:hRule="atLeast"/>
        </w:trPr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Обустройство и содержанию спортивных и детских игровых площадок (комплексов)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6 861,90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6 662,45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97,09</w:t>
            </w:r>
          </w:p>
        </w:tc>
      </w:tr>
      <w:tr>
        <w:trPr>
          <w:trHeight w:val="630" w:hRule="atLeast"/>
        </w:trPr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Ремонт и содержание внутриквартальных дорог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1 936,50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i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i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1 852,64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i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i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94,28</w:t>
            </w:r>
          </w:p>
        </w:tc>
      </w:tr>
      <w:tr>
        <w:trPr>
          <w:trHeight w:val="526" w:hRule="atLeast"/>
        </w:trPr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Содержание и благоустройство кладбищ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1 909,20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1 908,48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99,96</w:t>
            </w:r>
          </w:p>
        </w:tc>
      </w:tr>
      <w:tr>
        <w:trPr>
          <w:trHeight w:val="645" w:hRule="atLeast"/>
        </w:trPr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Содержание и благоустройство пляжей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046" w:leader="none"/>
              </w:tabs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9</w:t>
            </w: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/>
              </w:rPr>
              <w:t>0,70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Times New Roman" w:cs="Times New Roman"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90,66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 w:eastAsia="NSimSun" w:cs="Mangal"/>
                <w:i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i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99,96</w:t>
            </w:r>
          </w:p>
        </w:tc>
      </w:tr>
    </w:tbl>
    <w:p>
      <w:pPr>
        <w:pStyle w:val="Normal"/>
        <w:jc w:val="both"/>
        <w:rPr>
          <w:rFonts w:ascii="Book Antiqua" w:hAnsi="Book Antiqua" w:eastAsia="Calibri"/>
          <w:sz w:val="16"/>
          <w:szCs w:val="16"/>
          <w:shd w:fill="auto" w:val="clear"/>
          <w:lang w:val="ru-RU"/>
        </w:rPr>
      </w:pP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В рамках исполнения отдельных государственных полномочий были проведены следующие мероприятия:</w:t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u w:val="single"/>
          <w:shd w:fill="auto" w:val="clear"/>
          <w:lang w:val="ru-RU"/>
        </w:rPr>
        <w:t>-по санитарной очистке территории ВМО Качинского МО:</w:t>
      </w: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 xml:space="preserve">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заключены и исполнены 5 муниципальных контрактов (оказание услуг за январь 2021 г., за февраль 2021 г., за март 2021г., оказание услуг в период с июня 2021 г.  по декабрь 2021 г., на выполнение услуг по санитарной очистке территории Качинского МО, которые включают в себя следующие мероприятия: подметание тротуаров улиц, уборка мусора с зеленой зоны улиц и тротуаров улиц и территорий общего пользования, подметание твердого покрытия парков и скверов, сбор мусора с зеленой зоны и твердого покрытия парков и скверов, очистка урн улиц парков и скверов, подметание лестниц, подметание остановок общественного транспорта, очистка зеленой улиц, парков, скверов, клумб  от опавшей листвы и веток (август-декабрь), уборка мусора с зеленой зоны лестниц, подметание и уборка мусора с территории детских и спортивных площадок;</w:t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u w:val="single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u w:val="single"/>
          <w:shd w:fill="auto" w:val="clear"/>
          <w:lang w:val="ru-RU"/>
        </w:rPr>
        <w:t>- по реализации мероприятий по созданию, содержанию зеленых насаждений, обеспечению ухода за ними: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 исполнены два  муниципальных контракта на оказание услуг по обрезке и сносу аварийных деревьев;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 xml:space="preserve">-  исполнен  муниципальный контракт на оказание услуг по  созданию и содержанию зеленых насаждений, включающий в себя высадку саженцев кипариса аризонского, Ели колючей Супер Блю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их полив;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 муниципальный контракт на оказание услуг по созданию, содержанию зеленых насаждений, включающий высадку саженцев Бересклета японского Микрофиллуса;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заключен муниципальный контракт на оказание услуг по содержанию зеленых насаждений и обеспечению ухода за ними с июля по ноябрь 2021 г., включающих в себя: полив декоративных кустов и герани кроваво-красной, удобрение декоративных кустов, прополка от сорняков, рыхление декоративных кустов, полив деревьев, рыхление приствольных кругов, обработка деревьев от вредителей, выкашивание газонов улиц, парков и скверов, зеленой зоны лестниц, обрезка и снос деревьев;</w:t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u w:val="single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u w:val="single"/>
          <w:shd w:fill="auto" w:val="clear"/>
          <w:lang w:val="ru-RU"/>
        </w:rPr>
        <w:t>- по реализации мероприятий по созданию, приобретению, установке, ремонту элементов благоустройства заключены и исполнены следующие муниципальные контракты: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выполнение работ по текущему ремонту элементов благоустройства (железобетонные цветочницы,  диваны парковые, урны, остановочные комплексы);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работы по содержанию элементов благоустройства (демонтаж сцены);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выполнение услуг по вывешиванию и снятию флагов к праздничным дням на территории Качинского МО;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- 7 контрактов на разработку сметной документации на выполнение работ по созданию, приобретению и установке элементов благоустройства в с. Орловка, с. Полюшко и п. Кача, с.Вишневое, в том числе устройство тротуарного покрытия;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- 2 муниципальных контракта на перемещение элементов благоустройства по территории Качинского МО;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 2 муниципальных контракта на обустройство плиточного  покрытия тротуарных дорожек в с. Орловка и с. Полюшко;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составление экспертных заключений по результатам выполненных работ;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создание элементов благоустройства (резинового покрытия детской игровой площадки) в с. Полюшко, ул. Сумская в районе дома 49;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создание элементов благоустройства, включающих поставку и установку топиари с обустройством покрытия в с. Орловка, ул. Приморская,19;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разработку проектно-сметной документации, по созданию элементов благоустройства и экспертизе результатов выполненных работ по созданию элементов благоустройства, включающих в себя ограждение, покрытие, поставку детского игрового оборудования по адресу с. Осипенко ул. Сухий, 1а;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поставка и  установка элементов благоустройства, включающих в себя перголы, цветочницы, урны, скамейки в с. Вишневое, с. Орловка, с. Полюшко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обустройство покрытия их тротуарной плитки в с. Орловка, ул. Качинское шоссе, д.3;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создание элементов благоустройства, включающих в себя покрытие, спортивное оборудование в с. Орловка по ул. Школьная;</w:t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u w:val="single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u w:val="single"/>
          <w:shd w:fill="auto" w:val="clear"/>
          <w:lang w:val="ru-RU"/>
        </w:rPr>
        <w:t>- по обустройству площадок для установки контейнеров для сбора твердых коммунальных отходов: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исполнены муниципальные контракты на выполнение работ по разработке сметной документации на демонтаж и текущий ремонт контейнерных площадок, на обустройство пандусов к контейнерным площадкам, на обустройство контейнерной площадки;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исполнены муниципальные контракты на демонтаж с дальнейшей установкой контейнерных площадок в п. Кача и с. Полюшко, ремонт контейнерных площадок на территории Качинского муниципального округа, обустройство контейнерной площадки в с. Осипенко по ул. Ветаранов, а также устройство пандусов к двум контейнерным площадкам;</w:t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u w:val="single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u w:val="single"/>
          <w:shd w:fill="auto" w:val="clear"/>
          <w:lang w:val="ru-RU"/>
        </w:rPr>
        <w:t>- по реализации мероприятий  по обустройству и содержанию спортивных и детских игровых  площадок (комплексов):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исполнены 5 муниципальных контрактов на оказание услуг по содержанию и текущему ремонту 8 спортивных и 10  детских игровых площадок (комплексов) в п. Кача, с. Орловка, с. Вишневое, с. Полюшко, с. Осипенко за периоды — январь, февраль, март, с апреля по декабрь.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исполнены муниципальные контракты на обустройство детской площадки в с. Вишневое, а также муниципальные контракты на обустройство 2 спортивных площадок в с. Вишневое и пгт. Кача;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- 2 муниципальных контракта на ремонт элементов детских площадок;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- 6 контракта на составление проектно-сметной документации по обустройству детских и спортивных площадок;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- 3 контракта на составление экспертных заключений по факту выполненных работ;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исполнено 2 муниципальных контракта на обустройство резинового покрытия на двух детских игровых площадках в п. Кача и с. Полюшко;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 муниципальный контракт на поставку элементов детской игровой площадки в с. Полюшко по ул. Решидова;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 муниципальный контракт на поставку элементов детской площадки в с. Орловка по ул. Школьная;</w:t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u w:val="single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u w:val="single"/>
          <w:shd w:fill="auto" w:val="clear"/>
          <w:lang w:val="ru-RU"/>
        </w:rPr>
        <w:t>- по реализации мероприятий по ремонту и содержанию внутриквартальных дорог местной администрацией Качинского МО: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заключены и исполнены муниципальные контракты на разработку проектно-сметной документации на ремонт внутриквартальных проездов в с. Орловка, на текущий ремонт и экспертизу результатов выполненных работ по вышеназванному объекту;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исполнены муниципальные контракты по текущему ремонту внутриквартальных проездов в с. Орловка, а также экспертизе результатов выполненных работ по вышеназванному объекту;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исполнен муниципальный контракт на разработку проектно-сметной документации на ремонт внутриквартальных проездов в  п. Кача, с. Полюшко, с. Орловка в 2022 году;</w:t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u w:val="single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u w:val="single"/>
          <w:shd w:fill="auto" w:val="clear"/>
          <w:lang w:val="ru-RU"/>
        </w:rPr>
        <w:t>- по содержанию и благоустройству кладбищ: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приобретение, установку элементов благоустройства на кладбищах (урны) в п. Кача, с. Орловка;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на составление проектно-сметной документации по содержанию кладбищ;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- заключены 3 муниципальных контракта на оказание услуг по содержанию шести кладбищ (общественного кладбища в с. Орловка, мусульманского кладбища в с. Орловка, общественного старого кладбища в п. Кача, общественного нового кладбища в п. Кача, общественного старого кладбища в с. Орловка), на периоды  в периоды с января по февраль, за март, с июня по декабрь, включающие в себя: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b w:val="false"/>
          <w:bCs w:val="false"/>
          <w:color w:val="000000"/>
          <w:sz w:val="22"/>
          <w:szCs w:val="22"/>
          <w:shd w:fill="auto" w:val="clear"/>
          <w:lang w:val="ru-RU"/>
        </w:rPr>
        <w:t>подметание территории с усовершенствованным и не усовершенствованным покрытием, подметание территории без покрытия, уход за урнами мусорными, сбор и удалению с территории мест погребения растительных отходов, скашивание травы, санитарную обрезку крон деревьев и кустарников, сгребание листвы и веток.</w:t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/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>Приложение 4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    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olor w:val="000000"/>
          <w:sz w:val="24"/>
          <w:szCs w:val="24"/>
          <w:shd w:fill="auto" w:val="clear"/>
          <w:lang w:val="ru-RU" w:eastAsia="ru-RU"/>
        </w:rPr>
        <w:t xml:space="preserve">Плановые значения целевых показателей (индикаторов) муниципальной программы внутригородского муниципального образования города Севастополя Качинский муниципальный округ </w:t>
      </w:r>
      <w:r>
        <w:rPr>
          <w:rFonts w:eastAsia="Calibri" w:ascii="Book Antiqua" w:hAnsi="Book Antiqua"/>
          <w:b/>
          <w:sz w:val="24"/>
          <w:szCs w:val="24"/>
          <w:shd w:fill="auto" w:val="clear"/>
          <w:lang w:val="ru-RU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округ» </w:t>
      </w:r>
      <w:r>
        <w:rPr>
          <w:rFonts w:eastAsia="Calibri" w:cs="Times New Roman" w:ascii="Book Antiqua" w:hAnsi="Book Antiqua"/>
          <w:b/>
          <w:color w:val="000000"/>
          <w:kern w:val="0"/>
          <w:sz w:val="24"/>
          <w:szCs w:val="24"/>
          <w:shd w:fill="auto" w:val="clear"/>
          <w:lang w:val="ru-RU" w:eastAsia="en-US" w:bidi="ar-SA"/>
        </w:rPr>
        <w:t xml:space="preserve">за </w:t>
      </w:r>
      <w:r>
        <w:rPr>
          <w:rFonts w:eastAsia="Calibri" w:ascii="Book Antiqua" w:hAnsi="Book Antiqua"/>
          <w:b/>
          <w:sz w:val="24"/>
          <w:szCs w:val="24"/>
          <w:shd w:fill="auto" w:val="clear"/>
          <w:lang w:val="ru-RU"/>
        </w:rPr>
        <w:t>2021 год.</w:t>
      </w:r>
    </w:p>
    <w:p>
      <w:pPr>
        <w:pStyle w:val="Normal"/>
        <w:jc w:val="both"/>
        <w:rPr>
          <w:rFonts w:ascii="Book Antiqua" w:hAnsi="Book Antiqua" w:eastAsia="Calibri"/>
          <w:b/>
          <w:b/>
          <w:i/>
          <w:i/>
          <w:color w:val="000000"/>
          <w:sz w:val="24"/>
          <w:szCs w:val="24"/>
          <w:lang w:val="ru-RU" w:eastAsia="ru-RU"/>
        </w:rPr>
      </w:pPr>
      <w:r>
        <w:rPr>
          <w:rFonts w:eastAsia="Calibri" w:ascii="Book Antiqua" w:hAnsi="Book Antiqua"/>
          <w:b/>
          <w:i/>
          <w:color w:val="000000"/>
          <w:sz w:val="24"/>
          <w:szCs w:val="24"/>
          <w:lang w:val="ru-RU" w:eastAsia="ru-RU"/>
        </w:rPr>
      </w:r>
    </w:p>
    <w:tbl>
      <w:tblPr>
        <w:tblW w:w="1015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968"/>
        <w:gridCol w:w="1138"/>
        <w:gridCol w:w="1523"/>
        <w:gridCol w:w="1762"/>
        <w:gridCol w:w="1201"/>
      </w:tblGrid>
      <w:tr>
        <w:trPr>
          <w:trHeight w:val="102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  <w:lang w:val="ru-RU" w:eastAsia="ru-RU"/>
              </w:rPr>
              <w:t>N </w:t>
              <w:br/>
              <w:t>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Показатель (индикатор)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Ед. изм.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Значение показателя (индикатора) план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факт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%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Площадь убираемой территории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м</w:t>
            </w: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vertAlign w:val="superscript"/>
                <w:lang w:val="ru-RU"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470850,9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448689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95,3 *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Площадь создания, содержания зеленых насаждений, обеспечение ухода за ними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м</w:t>
            </w: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vertAlign w:val="superscript"/>
                <w:lang w:val="ru-RU"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427565,9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409159,2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95,7 *</w:t>
            </w:r>
          </w:p>
        </w:tc>
      </w:tr>
      <w:tr>
        <w:trPr>
          <w:trHeight w:val="120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шт.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57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570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Количество обустроенных контейнерных площадок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шт.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10</w:t>
            </w: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0</w:t>
            </w:r>
          </w:p>
        </w:tc>
      </w:tr>
      <w:tr>
        <w:trPr>
          <w:trHeight w:val="83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Площадь отремонтированных тротуаров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м</w:t>
            </w: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vertAlign w:val="superscript"/>
                <w:lang w:val="ru-RU"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114,5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114,5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10</w:t>
            </w: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Обустройство и содержание спортивных и детских игровых площадок (количество)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шт.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0/23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4/19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82,6 * по содержанию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</w:rPr>
              <w:t>Площадь отремонтированных внутриквартальных дорог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м2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1120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1493,61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i w:val="false"/>
                <w:iCs w:val="false"/>
                <w:color w:val="292929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133,4</w:t>
            </w:r>
          </w:p>
        </w:tc>
      </w:tr>
      <w:tr>
        <w:trPr>
          <w:trHeight w:val="791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b w:val="false"/>
                <w:bCs w:val="false"/>
                <w:i w:val="false"/>
                <w:iCs w:val="false"/>
                <w:color w:val="292929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8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/>
              </w:rPr>
              <w:t>Площадь содержания и благоустройства кладбищ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м2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292929"/>
                <w:sz w:val="22"/>
                <w:szCs w:val="22"/>
                <w:shd w:fill="auto" w:val="clear"/>
                <w:lang w:val="ru-RU" w:eastAsia="ru-RU"/>
              </w:rPr>
              <w:t>96500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96500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ru-RU"/>
              </w:rPr>
            </w:pPr>
            <w:r>
              <w:rPr>
                <w:rFonts w:eastAsia="Calibri" w:ascii="Book Antiqua" w:hAnsi="Book Antiqu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  <w:lang w:val="ru-RU" w:eastAsia="ru-RU"/>
              </w:rPr>
              <w:t>100</w:t>
            </w:r>
          </w:p>
        </w:tc>
      </w:tr>
    </w:tbl>
    <w:p>
      <w:pPr>
        <w:pStyle w:val="Normal"/>
        <w:jc w:val="both"/>
        <w:rPr>
          <w:rFonts w:ascii="Book Antiqua" w:hAnsi="Book Antiqua" w:eastAsia="Calibri"/>
          <w:b/>
          <w:b/>
          <w:i/>
          <w:i/>
          <w:color w:val="000000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b/>
          <w:i/>
          <w:color w:val="000000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p>
      <w:pPr>
        <w:pStyle w:val="Normal"/>
        <w:jc w:val="center"/>
        <w:rPr>
          <w:rFonts w:ascii="Book Antiqua" w:hAnsi="Book Antiqua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Book Antiqua" w:hAnsi="Book Antiqua"/>
          <w:b/>
          <w:bCs/>
          <w:i w:val="false"/>
          <w:iCs w:val="false"/>
          <w:sz w:val="24"/>
          <w:szCs w:val="24"/>
          <w:lang w:val="ru-RU"/>
        </w:rPr>
        <w:t xml:space="preserve">Пояснительная записка к отчету </w:t>
      </w:r>
      <w:r>
        <w:rPr>
          <w:rFonts w:cs="Times New Roman" w:ascii="Book Antiqua" w:hAnsi="Book Antiqua"/>
          <w:b/>
          <w:bCs/>
          <w:i w:val="false"/>
          <w:iCs w:val="false"/>
          <w:sz w:val="24"/>
          <w:szCs w:val="24"/>
          <w:lang w:val="ru-RU"/>
        </w:rPr>
        <w:t>о достижении целевых показателей по исполнению мероприятий по переданным отдельным полномочиям в сфере благоустройства в Качинском муниципальном округе за 202</w:t>
      </w:r>
      <w:r>
        <w:rPr>
          <w:rFonts w:cs="Times New Roman" w:ascii="Book Antiqua" w:hAnsi="Book Antiqua"/>
          <w:b/>
          <w:bCs/>
          <w:i w:val="false"/>
          <w:iCs w:val="false"/>
          <w:sz w:val="24"/>
          <w:szCs w:val="24"/>
          <w:lang w:val="ru-RU"/>
        </w:rPr>
        <w:t xml:space="preserve">1 </w:t>
      </w:r>
      <w:r>
        <w:rPr>
          <w:rFonts w:ascii="Book Antiqua" w:hAnsi="Book Antiqua"/>
          <w:b/>
          <w:bCs/>
          <w:i w:val="false"/>
          <w:iCs w:val="false"/>
          <w:sz w:val="24"/>
          <w:szCs w:val="24"/>
          <w:lang w:val="ru-RU"/>
        </w:rPr>
        <w:t>год</w:t>
      </w:r>
    </w:p>
    <w:p>
      <w:pPr>
        <w:pStyle w:val="Normal"/>
        <w:jc w:val="both"/>
        <w:rPr>
          <w:rFonts w:ascii="Book Antiqua" w:hAnsi="Book Antiqua"/>
          <w:b w:val="false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ascii="Book Antiqua" w:hAnsi="Book Antiqua"/>
          <w:b w:val="false"/>
          <w:bCs w:val="false"/>
          <w:i w:val="false"/>
          <w:iCs w:val="false"/>
          <w:sz w:val="22"/>
          <w:szCs w:val="22"/>
          <w:lang w:val="ru-RU"/>
        </w:rPr>
      </w:r>
    </w:p>
    <w:p>
      <w:pPr>
        <w:pStyle w:val="Normal"/>
        <w:jc w:val="both"/>
        <w:rPr/>
      </w:pPr>
      <w:r>
        <w:rPr>
          <w:rFonts w:ascii="Book Antiqua" w:hAnsi="Book Antiqua"/>
          <w:b w:val="false"/>
          <w:bCs w:val="false"/>
          <w:i w:val="false"/>
          <w:iCs w:val="false"/>
          <w:sz w:val="22"/>
          <w:szCs w:val="22"/>
          <w:lang w:val="ru-RU"/>
        </w:rPr>
        <w:tab/>
        <w:t xml:space="preserve">*Целевые показатели на 2021 г. определены Соглашением о предоставлении субвенции </w:t>
      </w:r>
      <w:r>
        <w:rPr>
          <w:rFonts w:ascii="Book Antiqua" w:hAnsi="Book Antiqua"/>
          <w:b w:val="false"/>
          <w:bCs w:val="false"/>
          <w:i w:val="false"/>
          <w:iCs w:val="false"/>
          <w:sz w:val="22"/>
          <w:szCs w:val="22"/>
          <w:lang w:val="ru-RU" w:eastAsia="ru-RU"/>
        </w:rPr>
        <w:t xml:space="preserve">бюджету внутригородского муниципального образования города Севастополя на реализацию отдельных государственных полномочий города Севастополя в соответствии с Законом города Севастополя от 29.12.2016 № 314-ЗС «О наделении органов местного самоуправления в городе Севастополе отдельными государственными полномочиями города Севастополя» от  27.01.2021 г. № 9 на основании действующей на момент подписания Соглашения редакции Приказа Департамента городского хозяйства г. Севастополя от 14.09.2020 г. № 348-ОД </w:t>
      </w:r>
      <w:r>
        <w:rPr>
          <w:rFonts w:ascii="Book Antiqua" w:hAnsi="Book Antiqua"/>
          <w:b w:val="false"/>
          <w:bCs w:val="false"/>
          <w:i w:val="false"/>
          <w:iCs w:val="false"/>
          <w:sz w:val="22"/>
          <w:szCs w:val="22"/>
          <w:u w:val="none"/>
          <w:lang w:val="ru-RU" w:eastAsia="ru-RU"/>
        </w:rPr>
        <w:t xml:space="preserve">«О внесении изменений </w:t>
      </w:r>
      <w:r>
        <w:rPr>
          <w:rFonts w:ascii="Book Antiqua" w:hAnsi="Book Antiqua"/>
          <w:b w:val="false"/>
          <w:bCs w:val="false"/>
          <w:i w:val="false"/>
          <w:iCs w:val="false"/>
          <w:sz w:val="22"/>
          <w:szCs w:val="22"/>
          <w:u w:val="none"/>
          <w:shd w:fill="auto" w:val="clear"/>
          <w:lang w:val="ru-RU" w:eastAsia="ru-RU"/>
        </w:rPr>
        <w:t>в</w:t>
      </w:r>
      <w:r>
        <w:rPr>
          <w:rFonts w:ascii="Book Antiqua" w:hAnsi="Book Antiqua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ru-RU" w:eastAsia="ru-RU"/>
        </w:rPr>
        <w:t xml:space="preserve"> </w:t>
      </w:r>
      <w:hyperlink r:id="rId3">
        <w:r>
          <w:rPr>
            <w:rFonts w:ascii="Book Antiqua" w:hAnsi="Book Antiqua"/>
            <w:sz w:val="22"/>
            <w:szCs w:val="22"/>
          </w:rPr>
          <w:t>приказ Департамента городского хозяйства города Севастополя от 24.05.2019 N 228-ОД "Об утверждении перечня мест общего пользования и перечня мероприятий по благоустройству, проводимых на их территории за счет средств бюджета города Севастополя, и признании некоторых приказов Департамента городского хозяйства города Севастополя утратившими силу"</w:t>
        </w:r>
      </w:hyperlink>
      <w:r>
        <w:rPr>
          <w:rFonts w:ascii="Book Antiqua" w:hAnsi="Book Antiqua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ru-RU" w:eastAsia="ru-RU"/>
        </w:rPr>
        <w:t xml:space="preserve">. </w:t>
      </w:r>
    </w:p>
    <w:p>
      <w:pPr>
        <w:pStyle w:val="Normal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 w:val="false"/>
          <w:bCs w:val="false"/>
          <w:i w:val="false"/>
          <w:iCs w:val="false"/>
          <w:sz w:val="22"/>
          <w:szCs w:val="22"/>
          <w:lang w:val="ru-RU"/>
        </w:rPr>
        <w:tab/>
        <w:t xml:space="preserve">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>Приказ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>ом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Департамента городского хозяйства  от</w:t>
      </w:r>
      <w:r>
        <w:rPr>
          <w:rFonts w:eastAsia="Times New Roman" w:cs="Times New Roman" w:ascii="Book Antiqua" w:hAnsi="Book Antiqua"/>
          <w:b/>
          <w:bCs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29.12.2021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г. № 444-ОД «О внесении изменений в приказ Департамента городского хозяйства города Севастополя  от 19.01.2021 № 5-ОД «Об утверждении Перечня натуральных показателей  для расчета объема субвенции...»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Департаментом городского хозяйства </w:t>
      </w:r>
      <w:r>
        <w:rPr>
          <w:rFonts w:eastAsia="Times New Roman" w:cs="Times New Roman" w:ascii="Book Antiqua" w:hAnsi="Book Antiqua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были изменены целевые показатели за 2021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 xml:space="preserve"> по следующим полномочиям: </w:t>
      </w:r>
    </w:p>
    <w:p>
      <w:pPr>
        <w:pStyle w:val="Normal"/>
        <w:jc w:val="both"/>
        <w:rPr>
          <w:rFonts w:ascii="Book Antiqua" w:hAnsi="Book Antiqua"/>
          <w:sz w:val="22"/>
          <w:szCs w:val="22"/>
        </w:rPr>
      </w:pP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1.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 xml:space="preserve">санитарная очистка территории: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целевой показатель со значения 441 066 кв.м. изменен на 470 850,9 кв.м.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,</w:t>
      </w:r>
    </w:p>
    <w:p>
      <w:pPr>
        <w:pStyle w:val="Normal"/>
        <w:jc w:val="both"/>
        <w:rPr>
          <w:rFonts w:ascii="Book Antiqua" w:hAnsi="Book Antiqua"/>
          <w:sz w:val="22"/>
          <w:szCs w:val="22"/>
        </w:rPr>
      </w:pP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2.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 xml:space="preserve"> содержание зеленых насаждений: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целевой показатель со значения 408 889 кв.м. изменен на 427 565,9 кв.м.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,</w:t>
      </w:r>
    </w:p>
    <w:p>
      <w:pPr>
        <w:pStyle w:val="Normal"/>
        <w:jc w:val="both"/>
        <w:rPr>
          <w:rFonts w:ascii="Book Antiqua" w:hAnsi="Book Antiqua"/>
          <w:sz w:val="22"/>
          <w:szCs w:val="22"/>
        </w:rPr>
      </w:pP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3.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 xml:space="preserve"> обустройство и содержание спортивных и детских игровых площадок: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целевой показатель с 19 шт. изменен на значение 23 шт.</w:t>
      </w:r>
    </w:p>
    <w:p>
      <w:pPr>
        <w:pStyle w:val="Normal"/>
        <w:jc w:val="both"/>
        <w:rPr>
          <w:rFonts w:ascii="Book Antiqua" w:hAnsi="Book Antiqua"/>
          <w:sz w:val="22"/>
          <w:szCs w:val="22"/>
        </w:rPr>
      </w:pP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В 2021 г. м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униципальные контракты  по санитарной очистке территории ВМО Качинский МО, по содержанию зеленых насаждений,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содержанию спортивных и детских игровых площадок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исполнялись в соответствии  с  редакциями приказа 228-ОД от 24.05.2019 «Об утверждении перечня мест общего пользования и перечня мероприятий по благоустройству, проводимых на их территории за счет средств бюджета ...» </w:t>
      </w:r>
      <w:r>
        <w:rPr>
          <w:rFonts w:eastAsia="Times New Roman" w:cs="Times New Roman" w:ascii="Book Antiqua" w:hAnsi="Book Antiqua"/>
          <w:b/>
          <w:bCs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от апреля-августа 2021 г. </w:t>
      </w:r>
    </w:p>
    <w:p>
      <w:pPr>
        <w:pStyle w:val="Normal"/>
        <w:jc w:val="both"/>
        <w:rPr>
          <w:rFonts w:ascii="Book Antiqua" w:hAnsi="Book Antiqua"/>
          <w:sz w:val="22"/>
          <w:szCs w:val="22"/>
        </w:rPr>
      </w:pP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>Увеличение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целевых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показателей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Департаментом городского хозяйства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по вышеназванным полномочиям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без поступления дополнительного финансирования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>приве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>ло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к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тому, что МА Качинского МО выполнить целевые показатели в полном объеме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в соответствии с Приказом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ДГХ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>от</w:t>
      </w:r>
      <w:r>
        <w:rPr>
          <w:rFonts w:eastAsia="Times New Roman" w:cs="Times New Roman" w:ascii="Book Antiqua" w:hAnsi="Book Antiqua"/>
          <w:b/>
          <w:bCs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>29.12.2021 г. № 444-ОД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 не представилось возможным.</w:t>
      </w:r>
      <w:r>
        <w:rPr>
          <w:rFonts w:eastAsia="Times New Roman" w:cs="Times New Roman" w:ascii="Book Antiqua" w:hAnsi="Book Antiqu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ru-RU" w:eastAsia="ru-RU" w:bidi="ar-SA"/>
        </w:rPr>
        <w:t xml:space="preserve"> </w:t>
      </w:r>
    </w:p>
    <w:p>
      <w:pPr>
        <w:pStyle w:val="Normal"/>
        <w:jc w:val="both"/>
        <w:rPr>
          <w:rFonts w:ascii="Book Antiqua" w:hAnsi="Book Antiqua"/>
          <w:b w:val="false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ascii="Book Antiqua" w:hAnsi="Book Antiqua"/>
          <w:b w:val="false"/>
          <w:bCs w:val="false"/>
          <w:i w:val="false"/>
          <w:iCs w:val="false"/>
          <w:sz w:val="22"/>
          <w:szCs w:val="22"/>
          <w:lang w:val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 w:val="false"/>
          <w:bCs w:val="false"/>
          <w:i w:val="false"/>
          <w:iCs w:val="false"/>
          <w:sz w:val="22"/>
          <w:szCs w:val="22"/>
          <w:lang w:val="ru-RU"/>
        </w:rPr>
        <w:tab/>
      </w:r>
      <w:r>
        <w:rPr>
          <w:rFonts w:ascii="Book Antiqua" w:hAnsi="Book Antiqua"/>
          <w:b w:val="false"/>
          <w:bCs w:val="false"/>
          <w:i/>
          <w:iCs/>
          <w:sz w:val="22"/>
          <w:szCs w:val="22"/>
          <w:lang w:val="ru-RU"/>
        </w:rPr>
        <w:t>*Относительно  исполнения целевого показателя по полномочию обустройство и содержание спортивных и детских игровых площадок дополнительно поясняем, что  МА Качинского МО в 2021 было обустроено 3 спортивные площадки и 1 детская игровая площадка.</w:t>
      </w:r>
      <w:r>
        <w:rPr>
          <w:rFonts w:ascii="Book Antiqua" w:hAnsi="Book Antiqua"/>
          <w:b w:val="false"/>
          <w:bCs w:val="false"/>
          <w:i/>
          <w:iCs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Book Antiqua" w:hAnsi="Book Antiqua"/>
          <w:b/>
          <w:b/>
          <w:i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</w:p>
    <w:p>
      <w:pPr>
        <w:pStyle w:val="Normal"/>
        <w:jc w:val="both"/>
        <w:rPr>
          <w:rFonts w:ascii="Book Antiqua" w:hAnsi="Book Antiqua" w:eastAsia="Calibri"/>
          <w:b w:val="false"/>
          <w:b w:val="false"/>
          <w:bCs w:val="false"/>
          <w:i/>
          <w:i/>
          <w:color w:val="000000"/>
          <w:sz w:val="24"/>
          <w:szCs w:val="24"/>
          <w:lang w:val="ru-RU" w:eastAsia="ru-RU"/>
        </w:rPr>
      </w:pPr>
      <w:r>
        <w:rPr>
          <w:rFonts w:eastAsia="Calibri" w:ascii="Book Antiqua" w:hAnsi="Book Antiqua"/>
          <w:b w:val="false"/>
          <w:bCs w:val="false"/>
          <w:i/>
          <w:color w:val="000000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b w:val="false"/>
          <w:b w:val="false"/>
          <w:bCs w:val="false"/>
          <w:i/>
          <w:i/>
          <w:color w:val="000000"/>
          <w:sz w:val="24"/>
          <w:szCs w:val="24"/>
          <w:lang w:val="ru-RU" w:eastAsia="ru-RU"/>
        </w:rPr>
      </w:pPr>
      <w:r>
        <w:rPr>
          <w:rFonts w:eastAsia="Calibri" w:ascii="Book Antiqua" w:hAnsi="Book Antiqua"/>
          <w:b w:val="false"/>
          <w:bCs w:val="false"/>
          <w:i/>
          <w:color w:val="000000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b w:val="false"/>
          <w:b w:val="false"/>
          <w:bCs w:val="false"/>
          <w:i/>
          <w:i/>
          <w:color w:val="000000"/>
          <w:sz w:val="24"/>
          <w:szCs w:val="24"/>
          <w:lang w:val="ru-RU" w:eastAsia="ru-RU"/>
        </w:rPr>
      </w:pPr>
      <w:r>
        <w:rPr>
          <w:rFonts w:eastAsia="Calibri" w:ascii="Book Antiqua" w:hAnsi="Book Antiqua"/>
          <w:b w:val="false"/>
          <w:bCs w:val="false"/>
          <w:i/>
          <w:color w:val="000000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b w:val="false"/>
          <w:b w:val="false"/>
          <w:bCs w:val="false"/>
          <w:i/>
          <w:i/>
          <w:color w:val="000000"/>
          <w:sz w:val="24"/>
          <w:szCs w:val="24"/>
          <w:lang w:val="ru-RU" w:eastAsia="ru-RU"/>
        </w:rPr>
      </w:pPr>
      <w:r>
        <w:rPr>
          <w:rFonts w:eastAsia="Calibri" w:ascii="Book Antiqua" w:hAnsi="Book Antiqua"/>
          <w:b w:val="false"/>
          <w:bCs w:val="false"/>
          <w:i/>
          <w:color w:val="000000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 w:eastAsia="ru-RU"/>
        </w:rPr>
        <w:t xml:space="preserve">Глава ВМО Качинский МО, исполняющий </w:t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ru-RU" w:eastAsia="ru-RU"/>
        </w:rPr>
        <w:t xml:space="preserve">полномочия Председателя Совета, 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color w:val="000000"/>
          <w:sz w:val="24"/>
          <w:szCs w:val="24"/>
          <w:lang w:val="ru-RU" w:eastAsia="ru-RU"/>
        </w:rPr>
        <w:t xml:space="preserve">Глава местной администрации               </w:t>
        <w:tab/>
        <w:t xml:space="preserve">                                             Н.М. Герасим</w:t>
      </w:r>
      <w:r>
        <w:rPr>
          <w:rFonts w:ascii="Book Antiqua" w:hAnsi="Book Antiqua"/>
          <w:bCs/>
          <w:iCs/>
          <w:color w:val="000000"/>
          <w:sz w:val="24"/>
          <w:szCs w:val="24"/>
        </w:rPr>
        <w:t xml:space="preserve">     </w:t>
      </w:r>
      <w:r>
        <w:rPr>
          <w:rFonts w:ascii="Book Antiqua" w:hAnsi="Book Antiqua"/>
          <w:bCs/>
          <w:iCs/>
          <w:color w:val="000000"/>
          <w:sz w:val="28"/>
          <w:szCs w:val="28"/>
        </w:rPr>
        <w:t xml:space="preserve">                                                      </w:t>
      </w:r>
    </w:p>
    <w:p>
      <w:pPr>
        <w:pStyle w:val="Normal"/>
        <w:ind w:left="0" w:right="0" w:hanging="0"/>
        <w:jc w:val="both"/>
        <w:rPr>
          <w:rFonts w:ascii="Book Antiqua" w:hAnsi="Book Antiqua"/>
          <w:b/>
          <w:b/>
          <w:i/>
          <w:i/>
          <w:color w:val="000000"/>
          <w:sz w:val="16"/>
          <w:szCs w:val="16"/>
          <w:lang w:val="ru-RU"/>
        </w:rPr>
      </w:pPr>
      <w:r>
        <w:rPr>
          <w:rFonts w:ascii="Book Antiqua" w:hAnsi="Book Antiqua"/>
          <w:b/>
          <w:i/>
          <w:color w:val="000000"/>
          <w:sz w:val="16"/>
          <w:szCs w:val="16"/>
          <w:lang w:val="ru-RU"/>
        </w:rPr>
      </w:r>
    </w:p>
    <w:p>
      <w:pPr>
        <w:pStyle w:val="Normal"/>
        <w:ind w:left="0" w:right="0" w:hanging="0"/>
        <w:jc w:val="both"/>
        <w:rPr>
          <w:rFonts w:ascii="Book Antiqua" w:hAnsi="Book Antiqua"/>
          <w:b/>
          <w:b/>
          <w:i/>
          <w:i/>
          <w:color w:val="000000"/>
          <w:sz w:val="16"/>
          <w:szCs w:val="16"/>
          <w:lang w:val="ru-RU"/>
        </w:rPr>
      </w:pPr>
      <w:r>
        <w:rPr>
          <w:rFonts w:ascii="Book Antiqua" w:hAnsi="Book Antiqua"/>
          <w:b/>
          <w:i/>
          <w:color w:val="000000"/>
          <w:sz w:val="16"/>
          <w:szCs w:val="16"/>
          <w:lang w:val="ru-RU"/>
        </w:rPr>
      </w:r>
    </w:p>
    <w:p>
      <w:pPr>
        <w:pStyle w:val="Normal"/>
        <w:ind w:left="0" w:right="0" w:hanging="0"/>
        <w:jc w:val="both"/>
        <w:rPr>
          <w:rFonts w:ascii="Book Antiqua" w:hAnsi="Book Antiqua"/>
          <w:b/>
          <w:b/>
          <w:i/>
          <w:i/>
          <w:color w:val="000000"/>
          <w:sz w:val="16"/>
          <w:szCs w:val="16"/>
          <w:lang w:val="ru-RU"/>
        </w:rPr>
      </w:pPr>
      <w:r>
        <w:rPr>
          <w:rFonts w:ascii="Book Antiqua" w:hAnsi="Book Antiqua"/>
          <w:b/>
          <w:i/>
          <w:color w:val="000000"/>
          <w:sz w:val="16"/>
          <w:szCs w:val="16"/>
          <w:lang w:val="ru-RU"/>
        </w:rPr>
      </w:r>
    </w:p>
    <w:p>
      <w:pPr>
        <w:pStyle w:val="Normal"/>
        <w:ind w:left="0" w:right="0" w:hanging="0"/>
        <w:jc w:val="both"/>
        <w:rPr>
          <w:rFonts w:ascii="Book Antiqua" w:hAnsi="Book Antiqua"/>
          <w:b/>
          <w:b/>
          <w:i/>
          <w:i/>
          <w:color w:val="000000"/>
          <w:sz w:val="16"/>
          <w:szCs w:val="16"/>
          <w:lang w:val="ru-RU"/>
        </w:rPr>
      </w:pPr>
      <w:r>
        <w:rPr>
          <w:rFonts w:ascii="Book Antiqua" w:hAnsi="Book Antiqua"/>
          <w:b/>
          <w:i/>
          <w:color w:val="000000"/>
          <w:sz w:val="16"/>
          <w:szCs w:val="16"/>
          <w:lang w:val="ru-RU"/>
        </w:rPr>
      </w:r>
    </w:p>
    <w:p>
      <w:pPr>
        <w:pStyle w:val="Normal"/>
        <w:ind w:left="0" w:right="0" w:hanging="0"/>
        <w:jc w:val="both"/>
        <w:rPr>
          <w:rFonts w:ascii="Book Antiqua" w:hAnsi="Book Antiqua"/>
          <w:b/>
          <w:b/>
          <w:i/>
          <w:i/>
          <w:color w:val="000000"/>
          <w:sz w:val="16"/>
          <w:szCs w:val="16"/>
          <w:lang w:val="ru-RU"/>
        </w:rPr>
      </w:pPr>
      <w:r>
        <w:rPr>
          <w:rFonts w:ascii="Book Antiqua" w:hAnsi="Book Antiqua"/>
          <w:b/>
          <w:i/>
          <w:color w:val="000000"/>
          <w:sz w:val="16"/>
          <w:szCs w:val="16"/>
          <w:lang w:val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bookmarkStart w:id="0" w:name="_GoBack"/>
      <w:bookmarkEnd w:id="0"/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>Приложение 5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     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Отчёт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Об исполнении муниципальной программы </w:t>
      </w:r>
      <w:r>
        <w:rPr>
          <w:rFonts w:ascii="Book Antiqua" w:hAnsi="Book Antiqua"/>
          <w:b/>
          <w:sz w:val="28"/>
          <w:szCs w:val="28"/>
          <w:lang w:val="ru-RU"/>
        </w:rPr>
        <w:t xml:space="preserve">«Развитие культуры внутригородского муниципального образования города Севастополя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sz w:val="28"/>
          <w:szCs w:val="28"/>
          <w:lang w:val="ru-RU"/>
        </w:rPr>
        <w:t>Качинский муниципальный округ</w:t>
      </w:r>
      <w:r>
        <w:rPr>
          <w:rFonts w:eastAsia="Calibri" w:ascii="Book Antiqua" w:hAnsi="Book Antiqua"/>
          <w:b/>
          <w:sz w:val="28"/>
          <w:szCs w:val="28"/>
          <w:lang w:val="ru-RU"/>
        </w:rPr>
        <w:t>» за 2021 год.</w:t>
      </w:r>
    </w:p>
    <w:p>
      <w:pPr>
        <w:pStyle w:val="Normal"/>
        <w:jc w:val="center"/>
        <w:rPr>
          <w:rFonts w:ascii="Book Antiqua" w:hAnsi="Book Antiqua" w:eastAsia="Calibri"/>
          <w:b/>
          <w:b/>
          <w:sz w:val="28"/>
          <w:szCs w:val="28"/>
          <w:lang w:val="ru-RU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4"/>
          <w:szCs w:val="24"/>
          <w:lang w:val="ru-RU"/>
        </w:rPr>
        <w:t>Использование бюджетных ассигнований бюджета Качинского муниципального образования города Севастополя Качинский муниципальный округ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rFonts w:eastAsia="Calibri" w:ascii="Book Antiqua" w:hAnsi="Book Antiqua"/>
        </w:rPr>
        <w:t>Тыс.руб.</w:t>
      </w:r>
    </w:p>
    <w:tbl>
      <w:tblPr>
        <w:tblW w:w="9497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812"/>
        <w:gridCol w:w="1077"/>
        <w:gridCol w:w="905"/>
        <w:gridCol w:w="2134"/>
      </w:tblGrid>
      <w:tr>
        <w:trPr>
          <w:trHeight w:val="676" w:hRule="atLeast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Январь-</w:t>
            </w: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декабрь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% исполнения</w:t>
            </w:r>
          </w:p>
        </w:tc>
      </w:tr>
      <w:tr>
        <w:trPr>
          <w:trHeight w:val="585" w:hRule="atLeast"/>
        </w:trPr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</w:tr>
      <w:tr>
        <w:trPr>
          <w:trHeight w:val="195" w:hRule="atLeast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«Развитие культуры внутригородского муниципального образования города Севастополя Качинский муниципальный округ»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920,00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919,62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99,96</w:t>
            </w:r>
          </w:p>
        </w:tc>
      </w:tr>
      <w:tr>
        <w:trPr>
          <w:trHeight w:val="165" w:hRule="atLeast"/>
        </w:trPr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920,00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919,62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99,96</w:t>
            </w:r>
          </w:p>
        </w:tc>
      </w:tr>
      <w:tr>
        <w:trPr>
          <w:trHeight w:val="1334" w:hRule="atLeast"/>
        </w:trPr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Иные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shd w:fill="auto" w:val="clear"/>
                <w:lang w:val="ru-RU"/>
              </w:rPr>
              <w:t>0</w:t>
            </w:r>
          </w:p>
        </w:tc>
      </w:tr>
    </w:tbl>
    <w:p>
      <w:pPr>
        <w:pStyle w:val="Normal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</w:p>
    <w:p>
      <w:pPr>
        <w:pStyle w:val="Normal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sz w:val="28"/>
          <w:szCs w:val="28"/>
          <w:lang w:val="ru-RU"/>
        </w:rPr>
        <w:t xml:space="preserve"> </w:t>
      </w:r>
      <w:r>
        <w:rPr>
          <w:rFonts w:eastAsia="Calibri" w:ascii="Book Antiqua" w:hAnsi="Book Antiqua"/>
          <w:sz w:val="24"/>
          <w:szCs w:val="24"/>
          <w:lang w:val="ru-RU"/>
        </w:rPr>
        <w:t>Аналитическая записка</w:t>
      </w:r>
    </w:p>
    <w:p>
      <w:pPr>
        <w:pStyle w:val="Normal"/>
        <w:ind w:left="0" w:right="0" w:firstLine="709"/>
        <w:jc w:val="both"/>
        <w:rPr/>
      </w:pPr>
      <w:r>
        <w:rPr>
          <w:rFonts w:eastAsia="Calibri" w:ascii="Book Antiqua" w:hAnsi="Book Antiqua"/>
          <w:color w:val="000000"/>
          <w:sz w:val="24"/>
          <w:szCs w:val="24"/>
          <w:shd w:fill="auto" w:val="clear"/>
          <w:lang w:val="ru-RU"/>
        </w:rPr>
        <w:t xml:space="preserve">За отчетный период запланированные средства в объеме 920,0 тыс.руб. освоены на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shd w:fill="auto" w:val="clear"/>
          <w:lang w:val="ru-RU" w:eastAsia="en-US" w:bidi="ar-SA"/>
        </w:rPr>
        <w:t>99,96</w:t>
      </w:r>
      <w:r>
        <w:rPr>
          <w:rFonts w:eastAsia="Calibri" w:ascii="Book Antiqua" w:hAnsi="Book Antiqua"/>
          <w:color w:val="000000"/>
          <w:sz w:val="24"/>
          <w:szCs w:val="24"/>
          <w:shd w:fill="auto" w:val="clear"/>
          <w:lang w:val="ru-RU"/>
        </w:rPr>
        <w:t xml:space="preserve">%. </w:t>
      </w:r>
    </w:p>
    <w:p>
      <w:pPr>
        <w:pStyle w:val="Normal"/>
        <w:jc w:val="both"/>
        <w:rPr>
          <w:rFonts w:ascii="Book Antiqua" w:hAnsi="Book Antiqua"/>
          <w:b/>
          <w:b/>
          <w:i/>
          <w:i/>
          <w:color w:val="000000"/>
          <w:sz w:val="24"/>
          <w:szCs w:val="24"/>
          <w:shd w:fill="auto" w:val="clear"/>
          <w:lang w:val="ru-RU"/>
        </w:rPr>
      </w:pPr>
      <w:r>
        <w:rPr>
          <w:rFonts w:ascii="Book Antiqua" w:hAnsi="Book Antiqua"/>
          <w:b/>
          <w:i/>
          <w:color w:val="000000"/>
          <w:sz w:val="24"/>
          <w:szCs w:val="24"/>
          <w:shd w:fill="auto" w:val="clear"/>
          <w:lang w:val="ru-RU"/>
        </w:rPr>
      </w:r>
    </w:p>
    <w:tbl>
      <w:tblPr>
        <w:tblW w:w="9497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1281"/>
        <w:gridCol w:w="1555"/>
        <w:gridCol w:w="2129"/>
      </w:tblGrid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  <w:t>%</w:t>
            </w:r>
          </w:p>
          <w:p>
            <w:pPr>
              <w:pStyle w:val="Normal"/>
              <w:widowControl w:val="false"/>
              <w:spacing w:lineRule="auto" w:line="360"/>
              <w:ind w:left="-108" w:right="-108" w:hanging="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  <w:t>исполнения</w:t>
            </w:r>
          </w:p>
        </w:tc>
      </w:tr>
      <w:tr>
        <w:trPr>
          <w:trHeight w:val="80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bCs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  <w:shd w:fill="auto" w:val="clear"/>
                <w:lang w:val="ru-RU"/>
              </w:rPr>
              <w:t>Подпрограмма «Праздники»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Cs/>
                <w:sz w:val="22"/>
                <w:szCs w:val="22"/>
                <w:shd w:fill="auto" w:val="clear"/>
                <w:lang w:val="ru-RU"/>
              </w:rPr>
              <w:t>670,00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Book Antiqua" w:hAnsi="Book Antiqua"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eastAsia="NSimSun" w:cs="Mangal" w:ascii="Book Antiqua" w:hAnsi="Book Antiqua"/>
                <w:bCs/>
                <w:color w:val="000000"/>
                <w:kern w:val="2"/>
                <w:sz w:val="22"/>
                <w:szCs w:val="22"/>
                <w:shd w:fill="auto" w:val="clear"/>
                <w:lang w:val="ru-RU" w:eastAsia="zh-CN" w:bidi="hi-IN"/>
              </w:rPr>
              <w:t>669,63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108" w:hanging="0"/>
              <w:jc w:val="center"/>
              <w:rPr>
                <w:rFonts w:ascii="Book Antiqua" w:hAnsi="Book Antiqua"/>
                <w:bCs w:val="false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eastAsia="Times New Roman" w:cs="Times New Roman" w:ascii="Book Antiqua" w:hAnsi="Book Antiqua"/>
                <w:b w:val="false"/>
                <w:b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99,94</w:t>
            </w:r>
          </w:p>
        </w:tc>
      </w:tr>
      <w:tr>
        <w:trPr>
          <w:trHeight w:val="692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bCs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  <w:shd w:fill="auto" w:val="clear"/>
                <w:lang w:val="ru-RU"/>
              </w:rPr>
              <w:t>Подпрограмма «Военно-патриотическое воспитание»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Book Antiqua" w:hAnsi="Book Antiqua"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Cs/>
                <w:sz w:val="22"/>
                <w:szCs w:val="22"/>
                <w:shd w:fill="auto" w:val="clear"/>
                <w:lang w:val="ru-RU"/>
              </w:rPr>
              <w:t>250,00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Book Antiqua" w:hAnsi="Book Antiqua"/>
                <w:bCs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Cs/>
                <w:sz w:val="22"/>
                <w:szCs w:val="22"/>
                <w:shd w:fill="auto" w:val="clear"/>
                <w:lang w:val="ru-RU"/>
              </w:rPr>
              <w:t>249,99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Book Antiqua" w:hAnsi="Book Antiqua"/>
                <w:b w:val="false"/>
                <w:b w:val="false"/>
                <w:bCs w:val="false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 w:val="false"/>
                <w:bCs w:val="false"/>
                <w:sz w:val="22"/>
                <w:szCs w:val="22"/>
                <w:shd w:fill="auto" w:val="clear"/>
                <w:lang w:val="ru-RU"/>
              </w:rPr>
              <w:t>100</w:t>
            </w:r>
          </w:p>
        </w:tc>
      </w:tr>
    </w:tbl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8"/>
          <w:szCs w:val="28"/>
          <w:lang w:val="ru-RU"/>
        </w:rPr>
        <w:t xml:space="preserve">   </w:t>
      </w:r>
      <w:r>
        <w:rPr>
          <w:rFonts w:eastAsia="Calibri" w:ascii="Book Antiqua" w:hAnsi="Book Antiqua"/>
          <w:sz w:val="28"/>
          <w:szCs w:val="28"/>
          <w:shd w:fill="auto" w:val="clear"/>
          <w:lang w:val="ru-RU"/>
        </w:rPr>
        <w:t xml:space="preserve">  </w:t>
      </w:r>
    </w:p>
    <w:p>
      <w:pPr>
        <w:pStyle w:val="Normal"/>
        <w:jc w:val="both"/>
        <w:rPr>
          <w:rFonts w:eastAsia="Calibri"/>
          <w:sz w:val="28"/>
          <w:szCs w:val="28"/>
          <w:shd w:fill="auto" w:val="clear"/>
          <w:lang w:val="ru-RU"/>
        </w:rPr>
      </w:pPr>
      <w:r>
        <w:rPr>
          <w:rFonts w:eastAsia="Calibri"/>
          <w:sz w:val="28"/>
          <w:szCs w:val="28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8"/>
          <w:szCs w:val="28"/>
          <w:shd w:fill="auto" w:val="clear"/>
          <w:lang w:val="ru-RU"/>
        </w:rPr>
        <w:t xml:space="preserve">  </w:t>
      </w: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 xml:space="preserve"> </w:t>
      </w: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>В течение отчетного периода за счет средств муниципальной программы были оплачены: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/>
        </w:rPr>
        <w:t xml:space="preserve">1) </w:t>
      </w: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медицинские услуги (дежурство бригады медицинской скорой помощи) на праздниках: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- мероприятие посвященное «Дню памяти Амет-Хан Султану» 01 февраля 2021г.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- открытие спортивной площадки в с.Орловка на ул. Сумской,49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- Детский праздник в честь Дня Космонавтики 10 апреля и 11 апреля 2021г.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- День России 12 июня 2021г.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- День Защиты детей 13 июня 2021г.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2) закуплены цветы: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- мероприятие посвященное «Дню памяти Амет-Хан Султану» 01 февраля 2021г.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- 10 февраля 2021г. (митинг-памяти на месте падения вертолета пгт.Кача ул.Я.Смушкевича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>- мероприятие посвященное 23 февраля 2021г.</w:t>
      </w:r>
    </w:p>
    <w:p>
      <w:pPr>
        <w:pStyle w:val="Normal"/>
        <w:jc w:val="both"/>
        <w:rPr/>
      </w:pPr>
      <w:r>
        <w:rPr>
          <w:rFonts w:ascii="Book Antiqua" w:hAnsi="Book Antiqua"/>
          <w:color w:val="000000"/>
          <w:sz w:val="24"/>
          <w:szCs w:val="24"/>
          <w:shd w:fill="auto" w:val="clear"/>
          <w:lang w:val="ru-RU"/>
        </w:rPr>
        <w:t xml:space="preserve">- </w:t>
      </w: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праздник Наврез 21 марта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- 77-летию освобождения села Орловка (Мамашай) и посёлка Кача от немецко-фашистских захватчиков 14 апреля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гробнички из искусственных цветов на 8 и 9 мая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для возложения и букеты ветеранам на 8 и 9 мая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- 22 июня 2021г. (День памяти и скорби)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3) закуплены канцелярские товары для поздравления детей из малоимущих семей с началом учебного года;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4) проведены праздничные мероприятия посвященные: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 открытие спортивной площадки в с.Орловка на ул. Сумской,49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Детский праздник в честь Дня Космонавтики 10 апреля и 11 апреля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мероприятие посвященное Дню Космонавтики (сверхлегкая авиация)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День Победы 9 мая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День России 12 июня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День Защиты детей 13 июня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- День пожилого человека 1 октября 2021г.</w:t>
      </w:r>
    </w:p>
    <w:p>
      <w:pPr>
        <w:pStyle w:val="Normal"/>
        <w:jc w:val="both"/>
        <w:rPr/>
      </w:pPr>
      <w:r>
        <w:rPr>
          <w:rStyle w:val="Style14"/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5) украшен сквер в п.Кача новогодней иллюминацией в честь празднования Нового года 2022.</w:t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jc w:val="both"/>
        <w:rPr>
          <w:rFonts w:ascii="Book Antiqua" w:hAnsi="Book Antiqu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pPr>
      <w:r>
        <w:rPr>
          <w:rFonts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</w:r>
    </w:p>
    <w:p>
      <w:pPr>
        <w:pStyle w:val="Normal"/>
        <w:ind w:left="0" w:right="0" w:firstLine="5812"/>
        <w:jc w:val="both"/>
        <w:rPr>
          <w:rFonts w:eastAsia="Calibri"/>
          <w:color w:val="000000"/>
          <w:sz w:val="16"/>
          <w:szCs w:val="16"/>
          <w:shd w:fill="auto" w:val="clear"/>
          <w:lang w:val="ru-RU"/>
        </w:rPr>
      </w:pPr>
      <w:r>
        <w:rPr>
          <w:rFonts w:eastAsia="Calibri"/>
          <w:color w:val="000000"/>
          <w:sz w:val="16"/>
          <w:szCs w:val="16"/>
          <w:shd w:fill="auto" w:val="clear"/>
          <w:lang w:val="ru-RU"/>
        </w:rPr>
      </w:r>
    </w:p>
    <w:p>
      <w:pPr>
        <w:pStyle w:val="Normal"/>
        <w:ind w:left="0" w:right="0" w:firstLine="5812"/>
        <w:jc w:val="both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16"/>
          <w:szCs w:val="16"/>
          <w:shd w:fill="auto" w:val="clear"/>
          <w:lang w:val="ru-RU"/>
        </w:rPr>
        <w:t>Приложение 6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    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     </w:t>
      </w:r>
    </w:p>
    <w:p>
      <w:pPr>
        <w:pStyle w:val="Normal"/>
        <w:jc w:val="center"/>
        <w:rPr>
          <w:rFonts w:ascii="Book Antiqua" w:hAnsi="Book Antiqua"/>
          <w:b/>
          <w:b/>
          <w:bCs/>
          <w:color w:val="000000"/>
          <w:sz w:val="24"/>
          <w:szCs w:val="24"/>
          <w:lang w:val="ru-RU" w:eastAsia="ru-RU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val="ru-RU" w:eastAsia="ru-RU"/>
        </w:rPr>
        <w:t xml:space="preserve">Плановые значения целевых показателей муниципальной программы </w:t>
      </w:r>
      <w:r>
        <w:rPr>
          <w:rFonts w:ascii="Book Antiqua" w:hAnsi="Book Antiqua"/>
          <w:b/>
          <w:sz w:val="24"/>
          <w:szCs w:val="24"/>
          <w:lang w:val="ru-RU"/>
        </w:rPr>
        <w:t>«Развитие культуры внутригородского муниципального образования города Севастополя Качинский муниципальный округ</w:t>
      </w:r>
      <w:r>
        <w:rPr>
          <w:rFonts w:eastAsia="Calibri" w:ascii="Book Antiqua" w:hAnsi="Book Antiqua"/>
          <w:b/>
          <w:sz w:val="24"/>
          <w:szCs w:val="24"/>
          <w:lang w:val="ru-RU"/>
        </w:rPr>
        <w:t>»</w:t>
      </w:r>
      <w:r>
        <w:rPr>
          <w:rFonts w:ascii="Book Antiqua" w:hAnsi="Book Antiqua"/>
          <w:b/>
          <w:sz w:val="24"/>
          <w:szCs w:val="24"/>
          <w:lang w:val="ru-RU"/>
        </w:rPr>
        <w:t xml:space="preserve"> </w:t>
      </w:r>
      <w:r>
        <w:rPr>
          <w:rFonts w:eastAsia="Calibri" w:ascii="Book Antiqua" w:hAnsi="Book Antiqua"/>
          <w:b/>
          <w:sz w:val="24"/>
          <w:szCs w:val="24"/>
          <w:lang w:val="ru-RU"/>
        </w:rPr>
        <w:t>за 2021 год.</w:t>
      </w:r>
    </w:p>
    <w:tbl>
      <w:tblPr>
        <w:tblW w:w="8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117"/>
        <w:gridCol w:w="1559"/>
        <w:gridCol w:w="1134"/>
        <w:gridCol w:w="993"/>
        <w:gridCol w:w="1100"/>
      </w:tblGrid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Плановые значения целевого показателя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3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3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ru-RU" w:eastAsia="ru-RU"/>
              </w:rPr>
              <w:t>факт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contextualSpacing/>
              <w:rPr>
                <w:rFonts w:ascii="Book Antiqua" w:hAnsi="Book Antiqua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sz w:val="22"/>
                <w:szCs w:val="22"/>
                <w:lang w:val="ru-RU" w:eastAsia="ru-RU"/>
              </w:rPr>
              <w:t>%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 xml:space="preserve">    </w:t>
            </w: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 w:eastAsia="ru-RU"/>
              </w:rPr>
              <w:t>6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Количество               граждан, посетивших  культурно-массовые мероприятия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4424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NSimSun" w:cs="Mangal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92,7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из 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1232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NSimSun" w:cs="Mangal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1300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NSimSun" w:cs="Mangal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105,5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Удельный вес граждан, посетивших одно и более культурно-массовое мероприятие от общей численности населения (</w:t>
            </w:r>
            <w:r>
              <w:rPr>
                <w:rFonts w:eastAsia="SimSun" w:cs="Calibri" w:ascii="Book Antiqua" w:hAnsi="Book Antiqua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8967 </w:t>
            </w: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чел. по данным Росстата на 01.01.201</w:t>
            </w:r>
            <w:r>
              <w:rPr>
                <w:rFonts w:eastAsia="SimSun" w:cs="Calibri" w:ascii="Book Antiqua" w:hAnsi="Book Antiqua"/>
                <w:color w:val="000000"/>
                <w:kern w:val="0"/>
                <w:sz w:val="22"/>
                <w:szCs w:val="22"/>
                <w:lang w:val="ru-RU" w:eastAsia="en-US" w:bidi="ar-SA"/>
              </w:rPr>
              <w:t>9</w:t>
            </w: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 xml:space="preserve">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NSimSun" w:cs="Mangal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  <w:lang w:val="ru-RU"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color w:val="000000"/>
                <w:kern w:val="2"/>
                <w:sz w:val="22"/>
                <w:szCs w:val="22"/>
                <w:shd w:fill="auto" w:val="clear"/>
                <w:lang w:val="ru-RU" w:eastAsia="ru-RU" w:bidi="hi-IN"/>
              </w:rPr>
            </w:pPr>
            <w:r>
              <w:rPr>
                <w:rFonts w:eastAsia="NSimSun" w:cs="Mangal" w:ascii="Book Antiqua" w:hAnsi="Book Antiqua"/>
                <w:color w:val="000000"/>
                <w:kern w:val="2"/>
                <w:sz w:val="22"/>
                <w:szCs w:val="22"/>
                <w:shd w:fill="auto" w:val="clear"/>
                <w:lang w:val="ru-RU" w:eastAsia="ru-RU" w:bidi="hi-IN"/>
              </w:rPr>
              <w:t>100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Среднее количество проводимых мероприятий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NSimSun" w:cs="Mangal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 w:eastAsia="NSimSun" w:cs="Mangal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NSimSun" w:cs="Mangal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85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Освоение средств, выделенных для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919,6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99,96</w:t>
            </w:r>
          </w:p>
        </w:tc>
      </w:tr>
    </w:tbl>
    <w:p>
      <w:pPr>
        <w:pStyle w:val="Normal"/>
        <w:spacing w:before="0" w:after="0"/>
        <w:ind w:left="0" w:right="0" w:hanging="0"/>
        <w:contextualSpacing/>
        <w:jc w:val="center"/>
        <w:rPr>
          <w:rFonts w:ascii="Book Antiqua" w:hAnsi="Book Antiqua" w:eastAsia="Calibri"/>
          <w:sz w:val="16"/>
          <w:szCs w:val="16"/>
          <w:lang w:val="ru-RU"/>
        </w:rPr>
      </w:pPr>
      <w:r>
        <w:rPr>
          <w:rFonts w:eastAsia="Calibri" w:ascii="Book Antiqua" w:hAnsi="Book Antiqua"/>
          <w:sz w:val="16"/>
          <w:szCs w:val="16"/>
          <w:lang w:val="ru-RU"/>
        </w:rPr>
      </w:r>
    </w:p>
    <w:p>
      <w:pPr>
        <w:pStyle w:val="Normal"/>
        <w:ind w:left="0" w:right="0" w:firstLine="5812"/>
        <w:rPr>
          <w:rFonts w:ascii="Book Antiqua" w:hAnsi="Book Antiqua" w:eastAsia="Calibri"/>
          <w:sz w:val="16"/>
          <w:szCs w:val="16"/>
          <w:lang w:val="ru-RU"/>
        </w:rPr>
      </w:pPr>
      <w:r>
        <w:rPr>
          <w:rFonts w:eastAsia="Calibri" w:ascii="Book Antiqua" w:hAnsi="Book Antiqua"/>
          <w:sz w:val="16"/>
          <w:szCs w:val="16"/>
          <w:lang w:val="ru-RU"/>
        </w:rPr>
      </w:r>
    </w:p>
    <w:p>
      <w:pPr>
        <w:pStyle w:val="Normal"/>
        <w:ind w:left="0" w:right="0" w:firstLine="5812"/>
        <w:rPr>
          <w:rFonts w:ascii="Book Antiqua" w:hAnsi="Book Antiqua" w:eastAsia="Calibri"/>
          <w:sz w:val="16"/>
          <w:szCs w:val="16"/>
          <w:lang w:val="ru-RU"/>
        </w:rPr>
      </w:pPr>
      <w:r>
        <w:rPr>
          <w:rFonts w:eastAsia="Calibri" w:ascii="Book Antiqua" w:hAnsi="Book Antiqua"/>
          <w:sz w:val="16"/>
          <w:szCs w:val="16"/>
          <w:lang w:val="ru-RU"/>
        </w:rPr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Глава ВМО Качинский МО, исполняющий </w:t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полномочия Председателя Совета, </w:t>
      </w:r>
    </w:p>
    <w:p>
      <w:pPr>
        <w:pStyle w:val="Normal"/>
        <w:tabs>
          <w:tab w:val="clear" w:pos="720"/>
          <w:tab w:val="left" w:pos="6663" w:leader="none"/>
        </w:tabs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eastAsia="Calibri" w:ascii="Book Antiqua" w:hAnsi="Book Antiqua"/>
          <w:b/>
          <w:bCs/>
          <w:i/>
          <w:iCs/>
          <w:color w:val="000000"/>
          <w:sz w:val="26"/>
          <w:szCs w:val="26"/>
          <w:lang w:val="ru-RU" w:eastAsia="ru-RU"/>
        </w:rPr>
        <w:t xml:space="preserve">Глава местной администрации               </w:t>
        <w:tab/>
        <w:t xml:space="preserve">             </w:t>
        <w:tab/>
        <w:t>Н.М. Герасим</w:t>
      </w:r>
    </w:p>
    <w:p>
      <w:pPr>
        <w:pStyle w:val="Normal"/>
        <w:ind w:left="0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</w:p>
    <w:p>
      <w:pPr>
        <w:pStyle w:val="Normal"/>
        <w:ind w:left="0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</w:t>
      </w:r>
    </w:p>
    <w:p>
      <w:pPr>
        <w:pStyle w:val="Normal"/>
        <w:ind w:left="0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Calibri" w:ascii="Book Antiqua" w:hAnsi="Book Antiqua"/>
          <w:sz w:val="16"/>
          <w:szCs w:val="16"/>
          <w:lang w:val="ru-RU"/>
        </w:rPr>
        <w:t>Приложение 7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     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Отчёт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Об исполнении муниципальной программы </w:t>
      </w:r>
      <w:r>
        <w:rPr>
          <w:rFonts w:ascii="Book Antiqua" w:hAnsi="Book Antiqua"/>
          <w:b/>
          <w:sz w:val="28"/>
          <w:szCs w:val="28"/>
          <w:lang w:val="ru-RU"/>
        </w:rPr>
        <w:t xml:space="preserve">«Обеспечение антитеррористической и общественной безопасности на территории внутригородского муниципального образования города Севастополя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sz w:val="28"/>
          <w:szCs w:val="28"/>
          <w:lang w:val="ru-RU"/>
        </w:rPr>
        <w:t xml:space="preserve">Качинский муниципальный округ» </w:t>
      </w: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за </w:t>
      </w:r>
      <w:r>
        <w:rPr>
          <w:rFonts w:eastAsia="Calibri" w:cs="Times New Roman" w:ascii="Book Antiqua" w:hAnsi="Book Antiqua"/>
          <w:b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ascii="Book Antiqua" w:hAnsi="Book Antiqua"/>
          <w:b/>
          <w:sz w:val="28"/>
          <w:szCs w:val="28"/>
          <w:lang w:val="ru-RU"/>
        </w:rPr>
        <w:t>02</w:t>
      </w:r>
      <w:r>
        <w:rPr>
          <w:rFonts w:eastAsia="Calibri" w:cs="Mangal" w:ascii="Book Antiqua" w:hAnsi="Book Antiqua"/>
          <w:b/>
          <w:color w:val="auto"/>
          <w:kern w:val="2"/>
          <w:sz w:val="28"/>
          <w:szCs w:val="28"/>
          <w:lang w:val="ru-RU" w:eastAsia="zh-CN" w:bidi="hi-IN"/>
        </w:rPr>
        <w:t xml:space="preserve">1 </w:t>
      </w:r>
      <w:r>
        <w:rPr>
          <w:rFonts w:eastAsia="Calibri" w:ascii="Book Antiqua" w:hAnsi="Book Antiqua"/>
          <w:b/>
          <w:sz w:val="28"/>
          <w:szCs w:val="28"/>
          <w:lang w:val="ru-RU"/>
        </w:rPr>
        <w:t>год.</w:t>
      </w:r>
    </w:p>
    <w:p>
      <w:pPr>
        <w:pStyle w:val="Normal"/>
        <w:jc w:val="center"/>
        <w:rPr>
          <w:rFonts w:ascii="Book Antiqua" w:hAnsi="Book Antiqua" w:eastAsia="Calibri"/>
          <w:b/>
          <w:b/>
          <w:sz w:val="28"/>
          <w:szCs w:val="28"/>
          <w:lang w:val="ru-RU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4"/>
          <w:szCs w:val="24"/>
          <w:lang w:val="ru-RU"/>
        </w:rPr>
        <w:t>Использование бюджетных ассигнований бюджета Качинского муниципального образования города Севастополя Качинский муниципальный округ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eastAsia="Calibri" w:ascii="Book Antiqua" w:hAnsi="Book Antiqua"/>
        </w:rPr>
        <w:t>Тыс.руб.</w:t>
      </w:r>
    </w:p>
    <w:tbl>
      <w:tblPr>
        <w:tblW w:w="9497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812"/>
        <w:gridCol w:w="849"/>
        <w:gridCol w:w="1133"/>
        <w:gridCol w:w="2134"/>
      </w:tblGrid>
      <w:tr>
        <w:trPr>
          <w:trHeight w:val="676" w:hRule="atLeast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Январь-</w:t>
            </w: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декабрь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% исполнения</w:t>
            </w:r>
          </w:p>
        </w:tc>
      </w:tr>
      <w:tr>
        <w:trPr>
          <w:trHeight w:val="585" w:hRule="atLeast"/>
        </w:trPr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</w:tr>
      <w:tr>
        <w:trPr>
          <w:trHeight w:val="195" w:hRule="atLeast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 xml:space="preserve">«Обеспечение антитеррористической и общественной безопасности на территории внутригородского муниципального образования города Севастополя 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 xml:space="preserve">Качинский муниципальный округ»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100,0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100,0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</w:t>
            </w:r>
          </w:p>
        </w:tc>
      </w:tr>
      <w:tr>
        <w:trPr>
          <w:trHeight w:val="1334" w:hRule="atLeast"/>
        </w:trPr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</w:tr>
    </w:tbl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  <w:t xml:space="preserve">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lang w:val="ru-RU" w:eastAsia="ru-RU"/>
        </w:rPr>
        <w:tab/>
      </w: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>В течение отчетного периода за счет средств муниципальной программы был оплачен:</w:t>
      </w:r>
    </w:p>
    <w:p>
      <w:pPr>
        <w:pStyle w:val="Normal"/>
        <w:jc w:val="both"/>
        <w:rPr/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- </w:t>
      </w:r>
      <w:r>
        <w:rPr>
          <w:rFonts w:eastAsia="Calibri" w:ascii="Book Antiqua" w:hAnsi="Book Antiqua"/>
          <w:sz w:val="24"/>
          <w:szCs w:val="24"/>
          <w:lang w:val="ru-RU" w:eastAsia="ru-RU"/>
        </w:rPr>
        <w:t>муниципальный контракт  на оказание охранных услуг  служебного помещения с дальнейшей абонентской платой, а также установлено видео наблюдение. П</w:t>
      </w:r>
      <w:r>
        <w:rPr>
          <w:rFonts w:eastAsia="Calibri" w:cs="Mangal" w:ascii="Book Antiqua" w:hAnsi="Book Antiqua"/>
          <w:color w:val="auto"/>
          <w:kern w:val="2"/>
          <w:sz w:val="24"/>
          <w:szCs w:val="24"/>
          <w:lang w:val="ru-RU" w:eastAsia="ru-RU" w:bidi="hi-IN"/>
        </w:rPr>
        <w:t>роизведен текущий</w:t>
      </w:r>
      <w:r>
        <w:rPr>
          <w:rFonts w:eastAsia="Calibri" w:ascii="Book Antiqua" w:hAnsi="Book Antiqua"/>
          <w:sz w:val="24"/>
          <w:szCs w:val="24"/>
          <w:lang w:val="ru-RU" w:eastAsia="ru-RU"/>
        </w:rPr>
        <w:t xml:space="preserve"> ремонт ранее установленных уличных информационных стендов.</w:t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>Приложение 8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   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</w:t>
      </w:r>
      <w:r>
        <w:rPr>
          <w:rFonts w:eastAsia="Calibri" w:ascii="Book Antiqua" w:hAnsi="Book Antiqua"/>
          <w:b/>
          <w:sz w:val="16"/>
          <w:szCs w:val="16"/>
          <w:lang w:val="ru-RU" w:eastAsia="ar-SA"/>
        </w:rPr>
        <w:t xml:space="preserve">                                </w:t>
      </w:r>
    </w:p>
    <w:p>
      <w:pPr>
        <w:pStyle w:val="Normal"/>
        <w:shd w:val="clear" w:fill="FFFFFF"/>
        <w:jc w:val="center"/>
        <w:rPr>
          <w:rFonts w:ascii="Book Antiqua" w:hAnsi="Book Antiqua"/>
          <w:b/>
          <w:b/>
          <w:lang w:eastAsia="ar-SA"/>
        </w:rPr>
      </w:pPr>
      <w:r>
        <w:rPr>
          <w:rFonts w:ascii="Book Antiqua" w:hAnsi="Book Antiqua"/>
          <w:b/>
          <w:lang w:eastAsia="ar-SA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val="ru-RU" w:eastAsia="ru-RU"/>
        </w:rPr>
        <w:t xml:space="preserve">Плановые значения целевых показателей муниципальной программы «Обеспечение антитеррористической и общественной безопасности на территории внутригородского муниципального образования города Севастополя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val="ru-RU" w:eastAsia="ru-RU"/>
        </w:rPr>
        <w:t>Качинский муниципальный округ</w:t>
      </w:r>
      <w:r>
        <w:rPr>
          <w:rFonts w:eastAsia="Calibri" w:ascii="Book Antiqua" w:hAnsi="Book Antiqua"/>
          <w:b/>
          <w:bCs/>
          <w:color w:val="000000"/>
          <w:sz w:val="24"/>
          <w:szCs w:val="24"/>
          <w:lang w:val="ru-RU" w:eastAsia="ru-RU"/>
        </w:rPr>
        <w:t>»</w:t>
      </w:r>
      <w:r>
        <w:rPr>
          <w:rFonts w:ascii="Book Antiqua" w:hAnsi="Book Antiqua"/>
          <w:b/>
          <w:sz w:val="24"/>
          <w:szCs w:val="24"/>
          <w:lang w:val="ru-RU"/>
        </w:rPr>
        <w:t xml:space="preserve"> </w:t>
      </w:r>
      <w:r>
        <w:rPr>
          <w:rFonts w:eastAsia="Calibri" w:ascii="Book Antiqua" w:hAnsi="Book Antiqua"/>
          <w:b/>
          <w:sz w:val="24"/>
          <w:szCs w:val="24"/>
          <w:lang w:val="ru-RU"/>
        </w:rPr>
        <w:t>за 2021 год.</w:t>
      </w:r>
    </w:p>
    <w:p>
      <w:pPr>
        <w:pStyle w:val="Normal"/>
        <w:shd w:val="clear" w:fill="FFFFFF"/>
        <w:jc w:val="center"/>
        <w:rPr>
          <w:rFonts w:ascii="Book Antiqua" w:hAnsi="Book Antiqua" w:eastAsia="Calibri"/>
          <w:b/>
          <w:b/>
          <w:sz w:val="24"/>
          <w:szCs w:val="24"/>
          <w:lang w:val="ru-RU"/>
        </w:rPr>
      </w:pPr>
      <w:r>
        <w:rPr>
          <w:rFonts w:eastAsia="Calibri" w:ascii="Book Antiqua" w:hAnsi="Book Antiqua"/>
          <w:b/>
          <w:sz w:val="24"/>
          <w:szCs w:val="24"/>
          <w:lang w:val="ru-RU"/>
        </w:rPr>
      </w:r>
    </w:p>
    <w:tbl>
      <w:tblPr>
        <w:tblW w:w="9621" w:type="dxa"/>
        <w:jc w:val="left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090"/>
        <w:gridCol w:w="859"/>
        <w:gridCol w:w="858"/>
        <w:gridCol w:w="996"/>
      </w:tblGrid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 </w:t>
            </w:r>
            <w:r>
              <w:rPr>
                <w:rFonts w:ascii="Book Antiqua" w:hAnsi="Book Antiqua"/>
                <w:b/>
                <w:sz w:val="22"/>
                <w:szCs w:val="22"/>
              </w:rPr>
              <w:t>N </w:t>
              <w:br/>
              <w:t>п/п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Количество проведенных мероприятий в год, 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Количество совершенных (попыток совершения) террористических актов и актов экстремистской направленности, 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Освоение выделенных средств, 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Количество изготовленных и размещенных объектов наглядной агитации и социальной рекламы (плакатов, баннеров, стендов) в целях профилактики экстремизма и терроризма, 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33,3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Количество распространенных печатных материалов (листовок, брошюр, памяток), связанных с профилактикой терроризма, экстремизма, ликвидацией и минимизацией проявлений нетерпимости, шт.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1000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auto"/>
                <w:kern w:val="0"/>
                <w:sz w:val="22"/>
                <w:szCs w:val="22"/>
                <w:lang w:val="ru-RU" w:eastAsia="en-US" w:bidi="ar-SA"/>
              </w:rPr>
              <w:t>1000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</w:t>
            </w:r>
          </w:p>
        </w:tc>
      </w:tr>
    </w:tbl>
    <w:p>
      <w:pPr>
        <w:pStyle w:val="Normal"/>
        <w:shd w:val="clear" w:fill="FFFFFF"/>
        <w:jc w:val="center"/>
        <w:rPr>
          <w:rFonts w:ascii="Book Antiqua" w:hAnsi="Book Antiqua" w:eastAsia="Calibri"/>
          <w:sz w:val="28"/>
          <w:szCs w:val="28"/>
          <w:lang w:val="ru-RU" w:eastAsia="ru-RU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8"/>
          <w:szCs w:val="28"/>
          <w:lang w:val="ru-RU" w:eastAsia="ru-RU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8"/>
          <w:szCs w:val="28"/>
          <w:lang w:val="ru-RU" w:eastAsia="ru-RU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8"/>
          <w:szCs w:val="28"/>
          <w:lang w:val="ru-RU" w:eastAsia="ru-RU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8"/>
          <w:szCs w:val="28"/>
          <w:lang w:val="ru-RU" w:eastAsia="ru-RU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Глава ВМО Качинский МО, исполняющий </w:t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полномочия Председателя Совета, </w:t>
      </w:r>
    </w:p>
    <w:p>
      <w:pPr>
        <w:pStyle w:val="Normal"/>
        <w:tabs>
          <w:tab w:val="clear" w:pos="720"/>
          <w:tab w:val="left" w:pos="6663" w:leader="none"/>
        </w:tabs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eastAsia="Calibri" w:ascii="Book Antiqua" w:hAnsi="Book Antiqua"/>
          <w:b/>
          <w:bCs/>
          <w:i/>
          <w:iCs/>
          <w:color w:val="000000"/>
          <w:sz w:val="26"/>
          <w:szCs w:val="26"/>
          <w:lang w:val="ru-RU" w:eastAsia="ru-RU"/>
        </w:rPr>
        <w:t xml:space="preserve">Глава местной администрации               </w:t>
        <w:tab/>
        <w:t xml:space="preserve">             Н.М. Герасим</w:t>
      </w:r>
    </w:p>
    <w:p>
      <w:pPr>
        <w:pStyle w:val="Normal"/>
        <w:jc w:val="both"/>
        <w:rPr>
          <w:rFonts w:ascii="Book Antiqua" w:hAnsi="Book Antiqua"/>
          <w:sz w:val="26"/>
          <w:szCs w:val="26"/>
          <w:lang w:val="ru-RU" w:eastAsia="ru-RU"/>
        </w:rPr>
      </w:pPr>
      <w:r>
        <w:rPr>
          <w:rFonts w:ascii="Book Antiqua" w:hAnsi="Book Antiqua"/>
          <w:sz w:val="26"/>
          <w:szCs w:val="26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>Приложение 9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   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Отчёт </w:t>
      </w:r>
    </w:p>
    <w:p>
      <w:pPr>
        <w:pStyle w:val="Normal"/>
        <w:jc w:val="center"/>
        <w:rPr/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Об исполнении муниципальной программы </w:t>
      </w:r>
      <w:r>
        <w:rPr>
          <w:rFonts w:ascii="Book Antiqua" w:hAnsi="Book Antiqua"/>
          <w:b/>
          <w:sz w:val="28"/>
          <w:szCs w:val="28"/>
          <w:lang w:val="ru-RU"/>
        </w:rPr>
        <w:t xml:space="preserve">«Развитие физической культуры и спорта во внутригородском муниципальном образовании города Севастополя Качинский муниципальный округ» </w:t>
      </w:r>
      <w:r>
        <w:rPr>
          <w:rFonts w:eastAsia="Calibri" w:ascii="Book Antiqua" w:hAnsi="Book Antiqua"/>
          <w:b/>
          <w:sz w:val="28"/>
          <w:szCs w:val="28"/>
          <w:lang w:val="ru-RU"/>
        </w:rPr>
        <w:t>за</w:t>
      </w:r>
      <w:r>
        <w:rPr>
          <w:rFonts w:eastAsia="Calibri" w:cs="Mangal" w:ascii="Book Antiqua" w:hAnsi="Book Antiqua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ascii="Book Antiqua" w:hAnsi="Book Antiqua"/>
          <w:b/>
          <w:sz w:val="28"/>
          <w:szCs w:val="28"/>
          <w:lang w:val="ru-RU"/>
        </w:rPr>
        <w:t>2021 г</w:t>
      </w:r>
      <w:r>
        <w:rPr>
          <w:rFonts w:eastAsia="Calibri" w:cs="Mangal" w:ascii="Book Antiqua" w:hAnsi="Book Antiqua"/>
          <w:b/>
          <w:color w:val="auto"/>
          <w:kern w:val="2"/>
          <w:sz w:val="28"/>
          <w:szCs w:val="28"/>
          <w:lang w:val="ru-RU" w:eastAsia="zh-CN" w:bidi="hi-IN"/>
        </w:rPr>
        <w:t>од.</w:t>
      </w:r>
    </w:p>
    <w:p>
      <w:pPr>
        <w:pStyle w:val="Normal"/>
        <w:jc w:val="center"/>
        <w:rPr>
          <w:rFonts w:ascii="Book Antiqua" w:hAnsi="Book Antiqua" w:eastAsia="Calibri"/>
          <w:b/>
          <w:b/>
          <w:sz w:val="28"/>
          <w:szCs w:val="28"/>
          <w:lang w:val="ru-RU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4"/>
          <w:szCs w:val="24"/>
          <w:lang w:val="ru-RU"/>
        </w:rPr>
        <w:t>Использование бюджетных ассигнований бюджета Качинского муниципального образования города Севастополя Качинский муниципальный округ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eastAsia="Calibri" w:ascii="Book Antiqua" w:hAnsi="Book Antiqua"/>
        </w:rPr>
        <w:t>Тыс.руб.</w:t>
      </w:r>
    </w:p>
    <w:tbl>
      <w:tblPr>
        <w:tblW w:w="9497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2436"/>
        <w:gridCol w:w="849"/>
        <w:gridCol w:w="1133"/>
        <w:gridCol w:w="2134"/>
      </w:tblGrid>
      <w:tr>
        <w:trPr>
          <w:trHeight w:val="676" w:hRule="atLeast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Январь-</w:t>
            </w: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декабрь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% исполнения</w:t>
            </w:r>
          </w:p>
        </w:tc>
      </w:tr>
      <w:tr>
        <w:trPr>
          <w:trHeight w:val="585" w:hRule="atLeast"/>
        </w:trPr>
        <w:tc>
          <w:tcPr>
            <w:tcW w:w="2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</w:tr>
      <w:tr>
        <w:trPr>
          <w:trHeight w:val="195" w:hRule="atLeast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«Развитие физической культуры и спорта во внутригородском муниципальном образовании города Севастополя Качинский муниципальный округ»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432,4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432,2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99,96</w:t>
            </w:r>
          </w:p>
        </w:tc>
      </w:tr>
      <w:tr>
        <w:trPr>
          <w:trHeight w:val="165" w:hRule="atLeast"/>
        </w:trPr>
        <w:tc>
          <w:tcPr>
            <w:tcW w:w="2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432,4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432,2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99,96</w:t>
            </w:r>
          </w:p>
        </w:tc>
      </w:tr>
      <w:tr>
        <w:trPr>
          <w:trHeight w:val="1334" w:hRule="atLeast"/>
        </w:trPr>
        <w:tc>
          <w:tcPr>
            <w:tcW w:w="2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</w:tr>
    </w:tbl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  <w:t xml:space="preserve">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  <w:lang w:val="ru-RU" w:eastAsia="ru-RU"/>
        </w:rPr>
        <w:tab/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 </w:t>
      </w: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В течение отчетного периода за счет средств муниципальной программы были </w:t>
      </w:r>
      <w:r>
        <w:rPr>
          <w:rStyle w:val="Style14"/>
          <w:rFonts w:eastAsia="Calibri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 w:eastAsia="ru-RU"/>
        </w:rPr>
        <w:t xml:space="preserve"> проведены </w:t>
      </w:r>
      <w:r>
        <w:rPr>
          <w:rStyle w:val="Style14"/>
          <w:rFonts w:eastAsia="Calibri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auto" w:val="clear"/>
          <w:lang w:val="ru-RU" w:eastAsia="ru-RU" w:bidi="hi-IN"/>
        </w:rPr>
        <w:t>спортивные</w:t>
      </w:r>
      <w:r>
        <w:rPr>
          <w:rStyle w:val="Style14"/>
          <w:rFonts w:eastAsia="Calibri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 w:eastAsia="ru-RU"/>
        </w:rPr>
        <w:t xml:space="preserve"> мероприятия</w:t>
      </w: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>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- </w:t>
      </w: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>товарищеский матч по волейболу среди мужских команд Качинского муниципального округа;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- товарищеский матч по </w:t>
      </w:r>
      <w:r>
        <w:rPr>
          <w:rFonts w:eastAsia="Calibri" w:cs="Mangal" w:ascii="Book Antiqua" w:hAnsi="Book Antiqua"/>
          <w:color w:val="000000"/>
          <w:kern w:val="2"/>
          <w:sz w:val="24"/>
          <w:szCs w:val="24"/>
          <w:shd w:fill="auto" w:val="clear"/>
          <w:lang w:val="ru-RU" w:eastAsia="ru-RU" w:bidi="hi-IN"/>
        </w:rPr>
        <w:t>футболу</w:t>
      </w: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 среди мужских команд Качинского муниципального округа;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- чемпионат по </w:t>
      </w:r>
      <w:r>
        <w:rPr>
          <w:rFonts w:eastAsia="Calibri" w:cs="Mangal" w:ascii="Book Antiqua" w:hAnsi="Book Antiqua"/>
          <w:color w:val="000000"/>
          <w:kern w:val="2"/>
          <w:sz w:val="24"/>
          <w:szCs w:val="24"/>
          <w:shd w:fill="auto" w:val="clear"/>
          <w:lang w:val="ru-RU" w:eastAsia="ru-RU" w:bidi="hi-IN"/>
        </w:rPr>
        <w:t>баскетболу</w:t>
      </w: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 среди мужских команд Качинского муниципального округа;</w:t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 xml:space="preserve">- </w:t>
      </w: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>веселые старты для детей младшего школьного возраста, учащихся школ №13 и №46.</w:t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>Приложение 10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     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val="ru-RU" w:eastAsia="ru-RU"/>
        </w:rPr>
        <w:t xml:space="preserve">Плановые значения целевых показателей муниципальной программы «Развитие физической культуры и спорта во внутригородском муниципальном образовании города Севастополя Качинский муниципальный округ»  за </w:t>
      </w:r>
      <w:r>
        <w:rPr>
          <w:rFonts w:eastAsia="Calibri" w:ascii="Book Antiqua" w:hAnsi="Book Antiqua"/>
          <w:b/>
          <w:sz w:val="24"/>
          <w:szCs w:val="24"/>
          <w:lang w:val="ru-RU"/>
        </w:rPr>
        <w:t>2021 год.</w:t>
      </w:r>
    </w:p>
    <w:p>
      <w:pPr>
        <w:pStyle w:val="Normal"/>
        <w:jc w:val="center"/>
        <w:rPr>
          <w:rFonts w:ascii="Book Antiqua" w:hAnsi="Book Antiqua"/>
          <w:b/>
          <w:b/>
          <w:lang w:eastAsia="ar-SA"/>
        </w:rPr>
      </w:pPr>
      <w:r>
        <w:rPr>
          <w:rFonts w:ascii="Book Antiqua" w:hAnsi="Book Antiqua"/>
          <w:b/>
          <w:lang w:eastAsia="ar-SA"/>
        </w:rPr>
      </w:r>
    </w:p>
    <w:tbl>
      <w:tblPr>
        <w:tblW w:w="9870" w:type="dxa"/>
        <w:jc w:val="left"/>
        <w:tblInd w:w="-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2"/>
        <w:gridCol w:w="3827"/>
        <w:gridCol w:w="1275"/>
        <w:gridCol w:w="1432"/>
        <w:gridCol w:w="1262"/>
        <w:gridCol w:w="1401"/>
      </w:tblGrid>
      <w:tr>
        <w:trPr/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Calibri"/>
                <w:b/>
                <w:b/>
              </w:rPr>
            </w:pPr>
            <w:r>
              <w:rPr>
                <w:rFonts w:eastAsia="Calibri" w:ascii="Book Antiqua" w:hAnsi="Book Antiqua"/>
                <w:b/>
              </w:rPr>
              <w:t xml:space="preserve">№ </w:t>
            </w:r>
            <w:r>
              <w:rPr>
                <w:rFonts w:eastAsia="Calibri" w:ascii="Book Antiqua" w:hAnsi="Book Antiqua"/>
                <w:b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Calibri"/>
                <w:b/>
                <w:b/>
              </w:rPr>
            </w:pPr>
            <w:r>
              <w:rPr>
                <w:rFonts w:eastAsia="Calibri" w:ascii="Book Antiqua" w:hAnsi="Book Antiqua"/>
                <w:b/>
              </w:rPr>
              <w:t>Целевой 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Calibri"/>
                <w:b/>
                <w:b/>
              </w:rPr>
            </w:pPr>
            <w:r>
              <w:rPr>
                <w:rFonts w:eastAsia="Calibri" w:ascii="Book Antiqua" w:hAnsi="Book Antiqua"/>
                <w:b/>
              </w:rPr>
              <w:t>Единица измерения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Calibri"/>
                <w:b/>
                <w:b/>
              </w:rPr>
            </w:pPr>
            <w:r>
              <w:rPr>
                <w:rFonts w:eastAsia="Calibri" w:ascii="Book Antiqua" w:hAnsi="Book Antiqua"/>
                <w:b/>
              </w:rPr>
              <w:t>Плановые значения целевого показателя в год</w:t>
            </w:r>
          </w:p>
        </w:tc>
      </w:tr>
      <w:tr>
        <w:trPr/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Calibri"/>
                <w:b/>
                <w:b/>
                <w:lang w:val="ru-RU"/>
              </w:rPr>
            </w:pPr>
            <w:r>
              <w:rPr>
                <w:rFonts w:eastAsia="Calibri" w:ascii="Book Antiqua" w:hAnsi="Book Antiqua"/>
                <w:b/>
                <w:lang w:val="ru-RU"/>
              </w:rPr>
              <w:t>план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Calibri"/>
                <w:b/>
                <w:b/>
                <w:lang w:val="ru-RU"/>
              </w:rPr>
            </w:pPr>
            <w:r>
              <w:rPr>
                <w:rFonts w:eastAsia="Calibri" w:ascii="Book Antiqua" w:hAnsi="Book Antiqua"/>
                <w:b/>
                <w:lang w:val="ru-RU"/>
              </w:rPr>
              <w:t>факт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Calibri"/>
                <w:b/>
                <w:b/>
              </w:rPr>
            </w:pPr>
            <w:r>
              <w:rPr>
                <w:rFonts w:eastAsia="Calibri" w:ascii="Book Antiqua" w:hAnsi="Book Antiqua"/>
                <w:b/>
              </w:rPr>
              <w:t>%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b/>
                <w:b/>
                <w:lang w:eastAsia="ar-SA"/>
              </w:rPr>
            </w:pPr>
            <w:r>
              <w:rPr>
                <w:rFonts w:ascii="Book Antiqua" w:hAnsi="Book Antiqua"/>
                <w:b/>
                <w:lang w:eastAsia="ar-SA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b/>
                <w:b/>
                <w:lang w:eastAsia="ar-SA"/>
              </w:rPr>
            </w:pPr>
            <w:r>
              <w:rPr>
                <w:rFonts w:ascii="Book Antiqua" w:hAnsi="Book Antiqua"/>
                <w:b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b/>
                <w:b/>
                <w:lang w:eastAsia="ar-SA"/>
              </w:rPr>
            </w:pPr>
            <w:r>
              <w:rPr>
                <w:rFonts w:ascii="Book Antiqua" w:hAnsi="Book Antiqua"/>
                <w:b/>
                <w:lang w:eastAsia="ar-SA"/>
              </w:rPr>
              <w:t>3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b/>
                <w:b/>
                <w:lang w:eastAsia="ar-SA"/>
              </w:rPr>
            </w:pPr>
            <w:r>
              <w:rPr>
                <w:rFonts w:ascii="Book Antiqua" w:hAnsi="Book Antiqua"/>
                <w:b/>
                <w:lang w:eastAsia="ar-SA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b/>
                <w:b/>
                <w:lang w:eastAsia="ar-SA"/>
              </w:rPr>
            </w:pPr>
            <w:r>
              <w:rPr>
                <w:rFonts w:ascii="Book Antiqua" w:hAnsi="Book Antiqua"/>
                <w:b/>
                <w:lang w:eastAsia="ar-SA"/>
              </w:rPr>
              <w:t>5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b/>
                <w:b/>
                <w:lang w:eastAsia="ar-SA"/>
              </w:rPr>
            </w:pPr>
            <w:r>
              <w:rPr>
                <w:rFonts w:ascii="Book Antiqua" w:hAnsi="Book Antiqua"/>
                <w:b/>
                <w:lang w:eastAsia="ar-SA"/>
              </w:rPr>
              <w:t>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lang w:eastAsia="ar-SA"/>
              </w:rPr>
            </w:pPr>
            <w:r>
              <w:rPr>
                <w:rFonts w:ascii="Book Antiqua" w:hAnsi="Book Antiqua"/>
                <w:lang w:eastAsia="ar-SA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Количество участников спортивных мероприятий (дети / родители)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eastAsia="Calibri"/>
              </w:rPr>
            </w:pPr>
            <w:r>
              <w:rPr>
                <w:rFonts w:eastAsia="Calibri" w:ascii="Book Antiqua" w:hAnsi="Book Antiqu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 w:eastAsia="Calibri"/>
              </w:rPr>
            </w:pPr>
            <w:r>
              <w:rPr>
                <w:rFonts w:eastAsia="Calibri" w:ascii="Book Antiqua" w:hAnsi="Book Antiqua"/>
              </w:rPr>
              <w:t>чел.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sz w:val="24"/>
                <w:szCs w:val="24"/>
              </w:rPr>
              <w:t>938/637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eastAsia="Calibri"/>
              </w:rPr>
            </w:pPr>
            <w:r>
              <w:rPr>
                <w:rFonts w:eastAsia="Calibri" w:ascii="Book Antiqua" w:hAnsi="Book Antiqua"/>
              </w:rPr>
              <w:t>900/600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eastAsia="Calibri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Calibri" w:cs="Mangal" w:ascii="Book Antiqua" w:hAnsi="Book Antiqua"/>
                <w:color w:val="auto"/>
                <w:kern w:val="2"/>
                <w:sz w:val="24"/>
                <w:szCs w:val="24"/>
                <w:lang w:val="ru-RU" w:eastAsia="zh-CN" w:bidi="hi-IN"/>
              </w:rPr>
              <w:t>95,9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lang w:eastAsia="ar-SA"/>
              </w:rPr>
            </w:pPr>
            <w:r>
              <w:rPr>
                <w:rFonts w:ascii="Book Antiqua" w:hAnsi="Book Antiqua"/>
                <w:lang w:eastAsia="ar-SA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Удельный вес участников, посетивших спортивно-массовые мероприятия от общей численности населения в возрасте до 18 лет (общая численность  населения в возрасте до 18 лет – 1929 чел.)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NSimSun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4"/>
                <w:szCs w:val="24"/>
                <w:lang w:val="ru-RU" w:eastAsia="zh-CN" w:bidi="hi-IN"/>
              </w:rPr>
              <w:t>20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NSimSun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4"/>
                <w:szCs w:val="24"/>
                <w:lang w:val="ru-RU" w:eastAsia="zh-CN" w:bidi="hi-IN"/>
              </w:rPr>
              <w:t>40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lang w:eastAsia="ar-SA"/>
              </w:rPr>
            </w:pPr>
            <w:r>
              <w:rPr>
                <w:rFonts w:ascii="Book Antiqua" w:hAnsi="Book Antiqua"/>
                <w:lang w:eastAsia="ar-SA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Среднее количество проводимых мероприятий в год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единиц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NSimSun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 w:eastAsia="NSimSun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4"/>
                <w:szCs w:val="24"/>
                <w:lang w:val="ru-RU" w:eastAsia="zh-CN" w:bidi="hi-IN"/>
              </w:rPr>
              <w:t>125</w:t>
            </w:r>
          </w:p>
        </w:tc>
      </w:tr>
      <w:tr>
        <w:trPr>
          <w:trHeight w:val="534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Book Antiqua" w:hAnsi="Book Antiqua"/>
                <w:lang w:eastAsia="ar-SA"/>
              </w:rPr>
            </w:pPr>
            <w:r>
              <w:rPr>
                <w:rFonts w:ascii="Book Antiqua" w:hAnsi="Book Antiqua"/>
                <w:lang w:eastAsia="ar-SA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Освоение средств, выделенных для реализации программы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4"/>
                <w:szCs w:val="24"/>
                <w:lang w:val="ru-RU" w:eastAsia="zh-CN" w:bidi="hi-IN"/>
              </w:rPr>
              <w:t>99,96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4"/>
                <w:szCs w:val="24"/>
                <w:lang w:val="ru-RU" w:eastAsia="zh-CN" w:bidi="hi-IN"/>
              </w:rPr>
              <w:t>99,96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Book Antiqua" w:hAnsi="Book Antiqua" w:eastAsia="Calibri"/>
          <w:b/>
          <w:b/>
          <w:sz w:val="24"/>
          <w:szCs w:val="24"/>
          <w:lang w:val="ru-RU" w:eastAsia="ru-RU"/>
        </w:rPr>
      </w:pPr>
      <w:r>
        <w:rPr>
          <w:rFonts w:eastAsia="Calibri" w:ascii="Book Antiqua" w:hAnsi="Book Antiqua"/>
          <w:b/>
          <w:sz w:val="24"/>
          <w:szCs w:val="24"/>
          <w:lang w:val="ru-RU" w:eastAsia="ru-RU"/>
        </w:rPr>
      </w:r>
    </w:p>
    <w:p>
      <w:pPr>
        <w:pStyle w:val="Normal"/>
        <w:spacing w:before="0" w:after="200"/>
        <w:contextualSpacing/>
        <w:jc w:val="center"/>
        <w:rPr>
          <w:rFonts w:ascii="Book Antiqua" w:hAnsi="Book Antiqua" w:eastAsia="Calibri"/>
          <w:b/>
          <w:b/>
          <w:sz w:val="24"/>
          <w:szCs w:val="24"/>
          <w:lang w:val="ru-RU" w:eastAsia="ru-RU"/>
        </w:rPr>
      </w:pPr>
      <w:r>
        <w:rPr>
          <w:rFonts w:eastAsia="Calibri" w:ascii="Book Antiqua" w:hAnsi="Book Antiqua"/>
          <w:b/>
          <w:sz w:val="24"/>
          <w:szCs w:val="24"/>
          <w:lang w:val="ru-RU" w:eastAsia="ru-RU"/>
        </w:rPr>
      </w:r>
    </w:p>
    <w:p>
      <w:pPr>
        <w:pStyle w:val="Normal"/>
        <w:spacing w:before="0" w:after="200"/>
        <w:contextualSpacing/>
        <w:jc w:val="center"/>
        <w:rPr>
          <w:rFonts w:ascii="Book Antiqua" w:hAnsi="Book Antiqua" w:eastAsia="Calibri"/>
          <w:b/>
          <w:b/>
          <w:sz w:val="24"/>
          <w:szCs w:val="24"/>
          <w:lang w:val="ru-RU" w:eastAsia="ru-RU"/>
        </w:rPr>
      </w:pPr>
      <w:r>
        <w:rPr>
          <w:rFonts w:eastAsia="Calibri" w:ascii="Book Antiqua" w:hAnsi="Book Antiqua"/>
          <w:b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6"/>
          <w:szCs w:val="26"/>
          <w:lang w:val="ru-RU" w:eastAsia="ru-RU"/>
        </w:rPr>
      </w:pPr>
      <w:r>
        <w:rPr>
          <w:rFonts w:eastAsia="Calibri" w:ascii="Book Antiqua" w:hAnsi="Book Antiqua"/>
          <w:sz w:val="26"/>
          <w:szCs w:val="26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Глава ВМО Качинский МО, исполняющий </w:t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полномочия Председателя Совета, </w:t>
      </w:r>
    </w:p>
    <w:p>
      <w:pPr>
        <w:pStyle w:val="Normal"/>
        <w:tabs>
          <w:tab w:val="clear" w:pos="720"/>
          <w:tab w:val="left" w:pos="6663" w:leader="none"/>
        </w:tabs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eastAsia="Calibri" w:ascii="Book Antiqua" w:hAnsi="Book Antiqua"/>
          <w:b/>
          <w:bCs/>
          <w:i/>
          <w:iCs/>
          <w:color w:val="000000"/>
          <w:sz w:val="26"/>
          <w:szCs w:val="26"/>
          <w:lang w:val="ru-RU" w:eastAsia="ru-RU"/>
        </w:rPr>
        <w:t xml:space="preserve">Глава местной администрации               </w:t>
        <w:tab/>
        <w:t xml:space="preserve">             Н.М. Герасим</w:t>
      </w:r>
    </w:p>
    <w:p>
      <w:pPr>
        <w:pStyle w:val="Normal"/>
        <w:ind w:left="0" w:right="0" w:firstLine="5812"/>
        <w:jc w:val="both"/>
        <w:rPr>
          <w:rFonts w:ascii="Book Antiqua" w:hAnsi="Book Antiqua" w:eastAsia="Calibri"/>
          <w:sz w:val="16"/>
          <w:szCs w:val="16"/>
          <w:lang w:val="ru-RU" w:eastAsia="ru-RU"/>
        </w:rPr>
      </w:pPr>
      <w:r>
        <w:rPr>
          <w:rFonts w:eastAsia="Calibri" w:ascii="Book Antiqua" w:hAnsi="Book Antiqua"/>
          <w:sz w:val="16"/>
          <w:szCs w:val="16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spacing w:before="0" w:after="200"/>
        <w:contextualSpacing/>
        <w:jc w:val="both"/>
        <w:rPr>
          <w:rFonts w:ascii="Book Antiqua" w:hAnsi="Book Antiqua" w:eastAsia="Calibri"/>
          <w:b/>
          <w:b/>
          <w:sz w:val="24"/>
          <w:szCs w:val="24"/>
          <w:lang w:val="ru-RU" w:eastAsia="ru-RU"/>
        </w:rPr>
      </w:pPr>
      <w:r>
        <w:rPr>
          <w:rFonts w:eastAsia="Calibri" w:ascii="Book Antiqua" w:hAnsi="Book Antiqua"/>
          <w:b/>
          <w:sz w:val="24"/>
          <w:szCs w:val="24"/>
          <w:lang w:val="ru-RU" w:eastAsia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>Приложение11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    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Отчёт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  <w:t xml:space="preserve">Об исполнении муниципальной программы </w:t>
      </w:r>
      <w:r>
        <w:rPr>
          <w:rFonts w:ascii="Book Antiqua" w:hAnsi="Book Antiqua"/>
          <w:b/>
          <w:sz w:val="28"/>
          <w:szCs w:val="28"/>
          <w:lang w:val="ru-RU"/>
        </w:rPr>
        <w:t xml:space="preserve">«Управление и содержание муниципального имущества внутригородского муниципального образования города Севастополя Качинский муниципальный округ » </w:t>
      </w:r>
      <w:r>
        <w:rPr>
          <w:rFonts w:eastAsia="Calibri" w:ascii="Book Antiqua" w:hAnsi="Book Antiqua"/>
          <w:b/>
          <w:sz w:val="28"/>
          <w:szCs w:val="28"/>
          <w:lang w:val="ru-RU"/>
        </w:rPr>
        <w:t>за 2021 год.</w:t>
      </w:r>
    </w:p>
    <w:p>
      <w:pPr>
        <w:pStyle w:val="Normal"/>
        <w:jc w:val="center"/>
        <w:rPr>
          <w:rFonts w:ascii="Book Antiqua" w:hAnsi="Book Antiqua" w:eastAsia="Calibri"/>
          <w:b/>
          <w:b/>
          <w:sz w:val="28"/>
          <w:szCs w:val="28"/>
          <w:lang w:val="ru-RU"/>
        </w:rPr>
      </w:pPr>
      <w:r>
        <w:rPr>
          <w:rFonts w:eastAsia="Calibri" w:ascii="Book Antiqua" w:hAnsi="Book Antiqua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eastAsia="Calibri" w:ascii="Book Antiqua" w:hAnsi="Book Antiqua"/>
          <w:b/>
          <w:sz w:val="24"/>
          <w:szCs w:val="24"/>
          <w:lang w:val="ru-RU"/>
        </w:rPr>
        <w:t>Использование бюджетных ассигнований бюджета Качинского муниципального образования города Севастополя Качинский муниципальный округ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eastAsia="Calibri" w:ascii="Book Antiqua" w:hAnsi="Book Antiqua"/>
        </w:rPr>
        <w:t>Тыс.руб.</w:t>
      </w:r>
    </w:p>
    <w:tbl>
      <w:tblPr>
        <w:tblW w:w="9497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381"/>
        <w:gridCol w:w="1026"/>
        <w:gridCol w:w="1186"/>
        <w:gridCol w:w="1904"/>
      </w:tblGrid>
      <w:tr>
        <w:trPr>
          <w:trHeight w:val="676" w:hRule="atLeast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Январь-</w:t>
            </w: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декабрь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% исполнения</w:t>
            </w:r>
          </w:p>
        </w:tc>
      </w:tr>
      <w:tr>
        <w:trPr>
          <w:trHeight w:val="585" w:hRule="atLeast"/>
        </w:trPr>
        <w:tc>
          <w:tcPr>
            <w:tcW w:w="3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план</w:t>
            </w:r>
          </w:p>
        </w:tc>
      </w:tr>
      <w:tr>
        <w:trPr>
          <w:trHeight w:val="195" w:hRule="atLeast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«Управление и содержание муниципального имущества внутригородского муниципального образования города Севастополя Качинский муниципальный округ»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245,0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auto"/>
                <w:kern w:val="0"/>
                <w:sz w:val="22"/>
                <w:szCs w:val="22"/>
                <w:lang w:val="ru-RU" w:eastAsia="en-US" w:bidi="ar-SA"/>
              </w:rPr>
              <w:t>245,0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3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245,0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Book Antiqua" w:hAnsi="Book Antiqua"/>
                <w:color w:val="auto"/>
                <w:kern w:val="0"/>
                <w:sz w:val="22"/>
                <w:szCs w:val="22"/>
                <w:lang w:val="ru-RU" w:eastAsia="en-US" w:bidi="ar-SA"/>
              </w:rPr>
              <w:t>245,0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NSimSun" w:cs="Mangal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SimSun" w:cs="Mangal" w:ascii="Book Antiqua" w:hAnsi="Book Antiqua"/>
                <w:color w:val="auto"/>
                <w:kern w:val="2"/>
                <w:sz w:val="22"/>
                <w:szCs w:val="22"/>
                <w:lang w:val="ru-RU" w:eastAsia="zh-CN" w:bidi="hi-IN"/>
              </w:rPr>
              <w:t>100</w:t>
            </w:r>
          </w:p>
        </w:tc>
      </w:tr>
      <w:tr>
        <w:trPr>
          <w:trHeight w:val="1334" w:hRule="atLeast"/>
        </w:trPr>
        <w:tc>
          <w:tcPr>
            <w:tcW w:w="3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Иные источники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0</w:t>
            </w:r>
          </w:p>
        </w:tc>
      </w:tr>
    </w:tbl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  <w:t xml:space="preserve">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  <w:shd w:fill="auto" w:val="clear"/>
          <w:lang w:val="ru-RU" w:eastAsia="ru-RU"/>
        </w:rPr>
        <w:tab/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  <w:tab/>
        <w:t>В течение отчетного периода по  муниципальной программе были заключены муниципальные контракты  на оказание услуг  по содержанию общественного туалета; холодного водоснабжения и водоотведения.</w:t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4"/>
          <w:szCs w:val="24"/>
          <w:shd w:fill="auto" w:val="clear"/>
          <w:lang w:val="ru-RU" w:eastAsia="ru-RU"/>
        </w:rPr>
      </w:pPr>
      <w:r>
        <w:rPr>
          <w:rFonts w:eastAsia="Calibri" w:ascii="Book Antiqua" w:hAnsi="Book Antiqua"/>
          <w:sz w:val="24"/>
          <w:szCs w:val="24"/>
          <w:shd w:fill="auto" w:val="clear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16"/>
          <w:szCs w:val="16"/>
          <w:lang w:val="ru-RU"/>
        </w:rPr>
      </w:pPr>
      <w:r>
        <w:rPr>
          <w:rFonts w:eastAsia="Calibri" w:ascii="Book Antiqua" w:hAnsi="Book Antiqua"/>
          <w:sz w:val="16"/>
          <w:szCs w:val="16"/>
          <w:lang w:val="ru-RU"/>
        </w:rPr>
      </w:r>
    </w:p>
    <w:p>
      <w:pPr>
        <w:pStyle w:val="Normal"/>
        <w:ind w:left="0" w:right="0" w:firstLine="5812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>Приложение 12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к Постановлению местной администрации Качинского муниципального округа от 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18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01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>.202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2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 г.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№ 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en-US" w:eastAsia="zh-CN" w:bidi="hi-IN"/>
        </w:rPr>
        <w:t>16-</w:t>
      </w:r>
      <w:r>
        <w:rPr>
          <w:rFonts w:eastAsia="Calibri" w:cs="Mangal" w:ascii="Book Antiqua" w:hAnsi="Book Antiqua"/>
          <w:color w:val="000000"/>
          <w:kern w:val="2"/>
          <w:sz w:val="16"/>
          <w:szCs w:val="16"/>
          <w:shd w:fill="auto" w:val="clear"/>
          <w:lang w:val="ru-RU" w:eastAsia="zh-CN" w:bidi="hi-IN"/>
        </w:rPr>
        <w:t xml:space="preserve">МА «Об утверждении Отчётов об исполнении муниципальных программ внутригородского муниципального образования города Севастополя Качинский муниципальный округ за 2021 год»  </w:t>
      </w:r>
      <w:r>
        <w:rPr>
          <w:rFonts w:eastAsia="Calibri" w:ascii="Book Antiqua" w:hAnsi="Book Antiqua"/>
          <w:sz w:val="16"/>
          <w:szCs w:val="16"/>
          <w:shd w:fill="auto" w:val="clear"/>
          <w:lang w:val="ru-RU"/>
        </w:rPr>
        <w:t xml:space="preserve">                      </w:t>
      </w: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</w:t>
      </w:r>
    </w:p>
    <w:p>
      <w:pPr>
        <w:pStyle w:val="Normal"/>
        <w:ind w:left="5812" w:right="0" w:hanging="0"/>
        <w:rPr>
          <w:rFonts w:ascii="Book Antiqua" w:hAnsi="Book Antiqua"/>
        </w:rPr>
      </w:pPr>
      <w:r>
        <w:rPr>
          <w:rFonts w:eastAsia="Calibri" w:ascii="Book Antiqua" w:hAnsi="Book Antiqua"/>
          <w:sz w:val="16"/>
          <w:szCs w:val="16"/>
          <w:lang w:val="ru-RU"/>
        </w:rPr>
        <w:t xml:space="preserve">                                                                       </w:t>
      </w:r>
    </w:p>
    <w:p>
      <w:pPr>
        <w:pStyle w:val="Normal"/>
        <w:shd w:val="clear" w:fill="FFFFFF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Плановые значения целевых показателей муниципальной программы </w:t>
      </w:r>
      <w:r>
        <w:rPr>
          <w:rFonts w:cs="Arial" w:ascii="Book Antiqua" w:hAnsi="Book Antiqua"/>
          <w:b/>
          <w:sz w:val="24"/>
          <w:szCs w:val="24"/>
        </w:rPr>
        <w:t xml:space="preserve">«Управление и содержание муниципального имущества внутригородского муниципального образования города Севастополя Качинский муниципальный округ» </w:t>
      </w:r>
      <w:r>
        <w:rPr>
          <w:rFonts w:cs="Arial" w:ascii="Book Antiqua" w:hAnsi="Book Antiqua"/>
          <w:b/>
          <w:bCs/>
          <w:color w:val="000000"/>
          <w:sz w:val="24"/>
          <w:szCs w:val="24"/>
          <w:lang w:val="ru-RU" w:eastAsia="ru-RU"/>
        </w:rPr>
        <w:t xml:space="preserve">за </w:t>
      </w:r>
      <w:r>
        <w:rPr>
          <w:rFonts w:eastAsia="Calibri" w:cs="Arial" w:ascii="Book Antiqua" w:hAnsi="Book Antiqua"/>
          <w:b/>
          <w:sz w:val="24"/>
          <w:szCs w:val="24"/>
          <w:lang w:val="ru-RU"/>
        </w:rPr>
        <w:t>2021 год.</w:t>
      </w:r>
    </w:p>
    <w:p>
      <w:pPr>
        <w:pStyle w:val="Normal"/>
        <w:shd w:val="clear" w:fill="FFFFFF"/>
        <w:tabs>
          <w:tab w:val="clear" w:pos="720"/>
          <w:tab w:val="left" w:pos="6217" w:leader="none"/>
        </w:tabs>
        <w:rPr>
          <w:rFonts w:ascii="Book Antiqua" w:hAnsi="Book Antiqua"/>
        </w:rPr>
      </w:pPr>
      <w:r>
        <w:rPr>
          <w:rFonts w:ascii="Book Antiqua" w:hAnsi="Book Antiqua"/>
          <w:b/>
          <w:sz w:val="28"/>
          <w:szCs w:val="28"/>
        </w:rPr>
        <w:tab/>
      </w:r>
    </w:p>
    <w:p>
      <w:pPr>
        <w:pStyle w:val="Normal"/>
        <w:shd w:val="clear" w:fill="FFFFFF"/>
        <w:tabs>
          <w:tab w:val="clear" w:pos="720"/>
          <w:tab w:val="left" w:pos="6217" w:leader="none"/>
        </w:tabs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</w:r>
    </w:p>
    <w:tbl>
      <w:tblPr>
        <w:tblW w:w="991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8"/>
        <w:gridCol w:w="3301"/>
        <w:gridCol w:w="5"/>
        <w:gridCol w:w="1590"/>
        <w:gridCol w:w="30"/>
        <w:gridCol w:w="1201"/>
        <w:gridCol w:w="15"/>
        <w:gridCol w:w="1176"/>
        <w:gridCol w:w="15"/>
        <w:gridCol w:w="1178"/>
      </w:tblGrid>
      <w:tr>
        <w:trPr/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shd w:fill="auto" w:val="clear"/>
              </w:rPr>
              <w:t xml:space="preserve">№ 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  <w:shd w:fill="auto" w:val="clear"/>
              </w:rPr>
              <w:t>п/п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shd w:fill="auto" w:val="clear"/>
              </w:rPr>
              <w:t>Целевой показатель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shd w:fill="auto" w:val="clear"/>
              </w:rPr>
              <w:t>Единица измерения</w:t>
            </w:r>
          </w:p>
        </w:tc>
        <w:tc>
          <w:tcPr>
            <w:tcW w:w="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shd w:fill="auto" w:val="clear"/>
              </w:rPr>
              <w:t>Плановые значения целевого показателя</w:t>
            </w:r>
          </w:p>
        </w:tc>
      </w:tr>
      <w:tr>
        <w:trPr/>
        <w:tc>
          <w:tcPr>
            <w:tcW w:w="1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331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shd w:fill="auto" w:val="clear"/>
                <w:lang w:val="ru-RU"/>
              </w:rPr>
              <w:t>план</w:t>
            </w:r>
          </w:p>
        </w:tc>
        <w:tc>
          <w:tcPr>
            <w:tcW w:w="11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shd w:fill="auto" w:val="clear"/>
                <w:lang w:val="ru-RU"/>
              </w:rPr>
              <w:t>факт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33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11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b/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Book Antiqua" w:hAnsi="Book Antiqua"/>
                <w:b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331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cs="Book Antiqu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Book Antiqua" w:ascii="Book Antiqua" w:hAnsi="Book Antiqu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Проведение кадастровых работ для постановки на государственный кадастровый учет объектов недвижимого имущества, составление технической документации (паспортов)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Book Antiqua" w:ascii="Book Antiqua" w:hAnsi="Book Antiqua"/>
                <w:color w:val="000000"/>
                <w:sz w:val="22"/>
                <w:szCs w:val="22"/>
                <w:shd w:fill="auto" w:val="clear"/>
              </w:rPr>
              <w:t>шт.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11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cs="Book Antiqu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Book Antiqua" w:ascii="Book Antiqua" w:hAnsi="Book Antiqu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Содержание  и эксплуатация муниципального имущества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100</w:t>
            </w:r>
          </w:p>
        </w:tc>
      </w:tr>
    </w:tbl>
    <w:p>
      <w:pPr>
        <w:pStyle w:val="Normal"/>
        <w:jc w:val="both"/>
        <w:rPr>
          <w:rFonts w:ascii="Book Antiqua" w:hAnsi="Book Antiqua" w:eastAsia="Calibri"/>
          <w:sz w:val="28"/>
          <w:szCs w:val="28"/>
          <w:lang w:val="ru-RU" w:eastAsia="ru-RU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Book Antiqua" w:hAnsi="Book Antiqua" w:eastAsia="Calibri"/>
          <w:sz w:val="28"/>
          <w:szCs w:val="28"/>
          <w:lang w:val="ru-RU" w:eastAsia="ru-RU"/>
        </w:rPr>
      </w:pPr>
      <w:r>
        <w:rPr>
          <w:rFonts w:eastAsia="Calibri" w:ascii="Book Antiqua" w:hAnsi="Book Antiqua"/>
          <w:sz w:val="28"/>
          <w:szCs w:val="28"/>
          <w:lang w:val="ru-RU" w:eastAsia="ru-RU"/>
        </w:rPr>
      </w:r>
    </w:p>
    <w:p>
      <w:pPr>
        <w:pStyle w:val="Normal"/>
        <w:ind w:left="0" w:right="0" w:hanging="0"/>
        <w:jc w:val="both"/>
        <w:rPr>
          <w:rFonts w:ascii="Book Antiqua" w:hAnsi="Book Antiqua" w:eastAsia="Times New Roman" w:cs="Times New Roman"/>
          <w:b/>
          <w:b/>
          <w:bCs/>
          <w:i/>
          <w:i/>
          <w:iCs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i/>
          <w:iCs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ind w:left="0" w:right="0" w:hanging="0"/>
        <w:jc w:val="both"/>
        <w:rPr>
          <w:rFonts w:ascii="Book Antiqua" w:hAnsi="Book Antiqua" w:eastAsia="Times New Roman" w:cs="Times New Roman"/>
          <w:b/>
          <w:b/>
          <w:bCs/>
          <w:i/>
          <w:i/>
          <w:iCs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i/>
          <w:iCs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ind w:left="0" w:right="0" w:hanging="0"/>
        <w:jc w:val="both"/>
        <w:rPr>
          <w:rFonts w:ascii="Book Antiqua" w:hAnsi="Book Antiqua" w:eastAsia="Times New Roman" w:cs="Times New Roman"/>
          <w:b/>
          <w:b/>
          <w:bCs/>
          <w:i/>
          <w:i/>
          <w:iCs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i/>
          <w:iCs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ind w:left="0" w:right="0" w:hanging="0"/>
        <w:jc w:val="both"/>
        <w:rPr>
          <w:rFonts w:ascii="Book Antiqua" w:hAnsi="Book Antiqua" w:eastAsia="Times New Roman" w:cs="Times New Roman"/>
          <w:b/>
          <w:b/>
          <w:bCs/>
          <w:i/>
          <w:i/>
          <w:iCs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i/>
          <w:iCs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Глава ВМО Качинский МО, исполняющий </w:t>
      </w:r>
    </w:p>
    <w:p>
      <w:pPr>
        <w:pStyle w:val="Normal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  <w:lang w:val="ru-RU" w:eastAsia="ru-RU"/>
        </w:rPr>
        <w:t xml:space="preserve">полномочия Председателя Совета, </w:t>
      </w:r>
    </w:p>
    <w:p>
      <w:pPr>
        <w:pStyle w:val="Normal"/>
        <w:tabs>
          <w:tab w:val="clear" w:pos="720"/>
          <w:tab w:val="left" w:pos="6663" w:leader="none"/>
        </w:tabs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eastAsia="Calibri" w:ascii="Book Antiqua" w:hAnsi="Book Antiqua"/>
          <w:b/>
          <w:bCs/>
          <w:i/>
          <w:iCs/>
          <w:color w:val="000000"/>
          <w:sz w:val="26"/>
          <w:szCs w:val="26"/>
          <w:lang w:val="ru-RU" w:eastAsia="ru-RU"/>
        </w:rPr>
        <w:t xml:space="preserve">Глава местной администрации               </w:t>
        <w:tab/>
        <w:tab/>
        <w:t xml:space="preserve">             Н.М. Герасим</w:t>
      </w:r>
    </w:p>
    <w:p>
      <w:pPr>
        <w:pStyle w:val="Normal"/>
        <w:jc w:val="both"/>
        <w:rPr>
          <w:rFonts w:ascii="Book Antiqua" w:hAnsi="Book Antiqua"/>
          <w:sz w:val="24"/>
          <w:szCs w:val="24"/>
          <w:lang w:val="ru-RU" w:eastAsia="ru-RU"/>
        </w:rPr>
      </w:pPr>
      <w:r>
        <w:rPr>
          <w:rFonts w:ascii="Book Antiqua" w:hAnsi="Book Antiqua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  <w:font w:name="Book 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cntd.ru/document/543676506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941</TotalTime>
  <Application>LibreOffice/7.0.0.3$Windows_x86 LibreOffice_project/8061b3e9204bef6b321a21033174034a5e2ea88e</Application>
  <Pages>20</Pages>
  <Words>3907</Words>
  <Characters>27301</Characters>
  <CharactersWithSpaces>34144</CharactersWithSpaces>
  <Paragraphs>651</Paragraphs>
  <Company>КонсультантПлюс Версия 4020.00.57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2021-07-29T13:23:00Z</dcterms:created>
  <dc:creator/>
  <dc:description/>
  <dc:language>ru-RU</dc:language>
  <cp:lastModifiedBy/>
  <cp:lastPrinted>2022-02-21T14:45:51Z</cp:lastPrinted>
  <dcterms:modified xsi:type="dcterms:W3CDTF">2022-02-21T14:45:29Z</dcterms:modified>
  <cp:revision>77</cp:revision>
  <dc:subject/>
  <dc:title>Постановление Правительства Севастополя от 27.05.2021 N 228-ПП"О внесении изменений в постановление Правительства Севастополя от 17.09.2018 N 605-ПП "Об установлении перечня пляжей в городе Севастополе"(вместе с "Перечнем лиц, ответственных за содержание пляжей в городе Севастополе")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4020.00.57</vt:lpwstr>
  </property>
</Properties>
</file>