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5670" w:hanging="0"/>
        <w:rPr>
          <w:sz w:val="28"/>
          <w:szCs w:val="28"/>
        </w:rPr>
      </w:pPr>
      <w:r>
        <w:rPr>
          <w:sz w:val="28"/>
          <w:szCs w:val="28"/>
        </w:rPr>
        <w:t xml:space="preserve">УТВЕРЖДЕНО: </w:t>
      </w:r>
    </w:p>
    <w:p>
      <w:pPr>
        <w:pStyle w:val="NormalWeb"/>
        <w:spacing w:beforeAutospacing="0" w:before="0" w:after="0"/>
        <w:ind w:left="5670" w:hanging="0"/>
        <w:rPr>
          <w:sz w:val="28"/>
          <w:szCs w:val="28"/>
        </w:rPr>
      </w:pPr>
      <w:r>
        <w:rPr>
          <w:sz w:val="28"/>
          <w:szCs w:val="28"/>
        </w:rPr>
        <w:t>Коллегиальный орган</w:t>
      </w:r>
    </w:p>
    <w:p>
      <w:pPr>
        <w:pStyle w:val="NormalWeb"/>
        <w:spacing w:beforeAutospacing="0" w:before="0" w:after="0"/>
        <w:ind w:left="5670" w:hanging="0"/>
        <w:rPr>
          <w:shd w:fill="auto" w:val="clear"/>
        </w:rPr>
      </w:pPr>
      <w:r>
        <w:rPr>
          <w:sz w:val="28"/>
          <w:szCs w:val="28"/>
          <w:shd w:fill="auto" w:val="clear"/>
        </w:rPr>
        <w:t xml:space="preserve">(протокол от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04.03</w:t>
      </w:r>
      <w:r>
        <w:rPr>
          <w:sz w:val="28"/>
          <w:szCs w:val="28"/>
          <w:shd w:fill="auto" w:val="clear"/>
        </w:rPr>
        <w:t>.202</w:t>
      </w:r>
      <w:bookmarkStart w:id="0" w:name="_GoBack"/>
      <w:bookmarkEnd w:id="0"/>
      <w:r>
        <w:rPr>
          <w:sz w:val="28"/>
          <w:szCs w:val="28"/>
          <w:shd w:fill="auto" w:val="clear"/>
        </w:rPr>
        <w:t>2</w:t>
      </w:r>
      <w:r>
        <w:rPr>
          <w:sz w:val="28"/>
          <w:szCs w:val="28"/>
          <w:shd w:fill="auto" w:val="clear"/>
        </w:rPr>
        <w:t xml:space="preserve"> № 1)</w:t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ДОКЛАД </w:t>
      </w:r>
    </w:p>
    <w:p>
      <w:pPr>
        <w:pStyle w:val="NormalWeb"/>
        <w:spacing w:lineRule="auto" w:line="360" w:beforeAutospacing="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АНТИМОНОПОЛЬНОМ КОМПЛАЕНСЕ</w:t>
      </w:r>
    </w:p>
    <w:p>
      <w:pPr>
        <w:pStyle w:val="NormalWeb"/>
        <w:spacing w:lineRule="auto" w:line="360" w:beforeAutospacing="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органах местного самоуправления внутригородского муниципального  образования города Севастополя Качинский муниципальный округ.</w:t>
      </w:r>
    </w:p>
    <w:p>
      <w:pPr>
        <w:pStyle w:val="NormalWeb"/>
        <w:spacing w:lineRule="auto" w:line="360"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>2022год</w:t>
      </w:r>
    </w:p>
    <w:p>
      <w:pPr>
        <w:pStyle w:val="NormalWeb"/>
        <w:spacing w:lineRule="auto" w:line="360"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>
      <w:pPr>
        <w:pStyle w:val="NormalWeb"/>
        <w:spacing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Указом Президента Российской Федерации от 21.12.2017 № 618 </w:t>
      </w:r>
      <w:r>
        <w:rPr>
          <w:sz w:val="28"/>
          <w:szCs w:val="28"/>
        </w:rPr>
        <w:t>«Об основных направлениях государственной политики по развитию конкуренции» поручено Правительству Российской Федерации в срок до 01 марта 2019 года 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 (абзац 19 подпункта «а» пункта 2 Национального плана).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i/>
          <w:i/>
          <w:sz w:val="28"/>
          <w:szCs w:val="28"/>
        </w:rPr>
      </w:pPr>
      <w:r>
        <w:rPr>
          <w:b/>
          <w:bCs/>
          <w:sz w:val="28"/>
          <w:szCs w:val="28"/>
        </w:rPr>
        <w:t>Распоряжением Правительства Российской Федерации от 18.10.2018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2258-р </w:t>
      </w:r>
      <w:r>
        <w:rPr>
          <w:sz w:val="28"/>
          <w:szCs w:val="28"/>
        </w:rPr>
        <w:t xml:space="preserve">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 Пунктом 2 распоряжения органам исполнительной власти субъектов Российской Федерации и </w:t>
      </w:r>
      <w:r>
        <w:rPr>
          <w:i/>
          <w:sz w:val="28"/>
          <w:szCs w:val="28"/>
        </w:rPr>
        <w:t>органам местного самоуправления рекомендовано руководствоваться утвержденными методическими рекомендациями.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Отдельного поручения Г</w:t>
      </w:r>
      <w:r>
        <w:rPr>
          <w:rFonts w:cs="Times New Roman" w:ascii="Book Antiqua" w:hAnsi="Book Antiqua"/>
          <w:b/>
          <w:bCs/>
          <w:i w:val="false"/>
          <w:iCs w:val="false"/>
          <w:sz w:val="24"/>
          <w:szCs w:val="24"/>
        </w:rPr>
        <w:t xml:space="preserve">убернатора города Севастополя от 17 февраля 2019 </w:t>
      </w:r>
      <w:r>
        <w:rPr>
          <w:rFonts w:cs="Times New Roman" w:ascii="Book Antiqua" w:hAnsi="Book Antiqua"/>
          <w:b w:val="false"/>
          <w:i w:val="false"/>
          <w:iCs w:val="false"/>
          <w:sz w:val="24"/>
          <w:szCs w:val="24"/>
        </w:rPr>
        <w:t>года о принятии мер, направленных на создание и организацию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города Севастополя и органов местного самоуправления в городе Севастополе 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i w:val="false"/>
          <w:i w:val="false"/>
          <w:iCs w:val="false"/>
        </w:rPr>
      </w:pPr>
      <w:r>
        <w:rPr>
          <w:rFonts w:cs="Times New Roman" w:ascii="Book Antiqua" w:hAnsi="Book Antiqua"/>
          <w:b/>
          <w:bCs/>
          <w:i w:val="false"/>
          <w:iCs w:val="false"/>
          <w:sz w:val="24"/>
          <w:szCs w:val="24"/>
        </w:rPr>
        <w:t>Постановлением Местной администрации Качинского муниципального округа от 21.02.2019г. №21-МА</w:t>
      </w:r>
      <w:r>
        <w:rPr>
          <w:rFonts w:cs="Times New Roman" w:ascii="Book Antiqua" w:hAnsi="Book Antiqua"/>
          <w:b w:val="false"/>
          <w:i w:val="false"/>
          <w:iCs w:val="false"/>
          <w:sz w:val="24"/>
          <w:szCs w:val="24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 (антимонопольный коплаенс) в органах самоуправления внутригородского муниципального образования города Севастополя Качинский муниципальный округ".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Карта рисков нарушения антимонопольного законодательства органов местного самоуправления утверждена Постановлением МА Качинского муниципального округа и опубликована на официальном сайте ВМО Качинского МО.</w:t>
      </w:r>
    </w:p>
    <w:p>
      <w:pPr>
        <w:pStyle w:val="NormalWeb"/>
        <w:numPr>
          <w:ilvl w:val="0"/>
          <w:numId w:val="0"/>
        </w:numPr>
        <w:spacing w:lineRule="auto" w:line="360" w:beforeAutospacing="0" w:before="0" w:after="0"/>
        <w:ind w:left="72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sz w:val="28"/>
          <w:szCs w:val="28"/>
        </w:rPr>
        <w:t>План мероприятий ("дорожная карта") по снижению рисков нарушения антимонопольного законодательства органов местного самоуправления Постановлением МА Качинского муниципального округа и опубликована на официальном сайте ВМО Качинского МО.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Состав коллегиального органа</w:t>
      </w:r>
      <w:r>
        <w:rPr>
          <w:sz w:val="28"/>
          <w:szCs w:val="28"/>
        </w:rPr>
        <w:t xml:space="preserve">, осуществляющего </w:t>
      </w:r>
      <w:r>
        <w:rPr>
          <w:rFonts w:eastAsia="Times New Roman" w:cs="Times New Roman"/>
          <w:sz w:val="28"/>
          <w:szCs w:val="28"/>
          <w:lang w:eastAsia="ru-RU"/>
        </w:rPr>
        <w:t xml:space="preserve">оценку эффективности организации и функционирования антимонопольного комплаенса </w:t>
      </w:r>
      <w:r>
        <w:rPr>
          <w:sz w:val="28"/>
          <w:szCs w:val="28"/>
        </w:rPr>
        <w:t xml:space="preserve">утвержден Постановлением </w:t>
      </w:r>
      <w:r>
        <w:rPr>
          <w:rFonts w:eastAsia="Times New Roman" w:cs="Times New Roman"/>
          <w:sz w:val="28"/>
          <w:szCs w:val="28"/>
          <w:lang w:eastAsia="ru-RU"/>
        </w:rPr>
        <w:t>МА Качинского МО от 200-МА от 25.12.2020г..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Функции уполномоченного подразделения (лица)</w:t>
      </w:r>
      <w:r>
        <w:rPr>
          <w:sz w:val="28"/>
          <w:szCs w:val="28"/>
        </w:rPr>
        <w:t xml:space="preserve">, связанные с организацией и функционированием антимонопольного комплаенса, </w:t>
      </w:r>
      <w:r>
        <w:rPr>
          <w:rFonts w:eastAsia="Times New Roman" w:cs="Times New Roman"/>
          <w:sz w:val="28"/>
          <w:szCs w:val="28"/>
          <w:lang w:eastAsia="ru-RU"/>
        </w:rPr>
        <w:t>возложены на начальника общего отдела местной администрации Качинского муниципального округа</w:t>
      </w:r>
      <w:r>
        <w:rPr>
          <w:sz w:val="28"/>
          <w:szCs w:val="28"/>
        </w:rPr>
        <w:t xml:space="preserve"> (пункт 2.2 Положения об антимонопольном комплаенсе).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соответствии с  Положени</w:t>
      </w:r>
      <w:r>
        <w:rPr>
          <w:rFonts w:eastAsia="Times New Roman" w:cs="Times New Roman"/>
          <w:sz w:val="28"/>
          <w:szCs w:val="28"/>
          <w:lang w:eastAsia="ru-RU"/>
        </w:rPr>
        <w:t>ем</w:t>
      </w:r>
      <w:r>
        <w:rPr>
          <w:sz w:val="28"/>
          <w:szCs w:val="28"/>
        </w:rPr>
        <w:t xml:space="preserve"> об антимонопольном комплаенсе не реже 1 раза в год Доклад об антимонопольном комлаенсе  направляется на согласование в Коллегиальны</w:t>
      </w:r>
      <w:r>
        <w:rPr>
          <w:rFonts w:eastAsia="Times New Roman" w:cs="Times New Roman"/>
          <w:sz w:val="28"/>
          <w:szCs w:val="28"/>
          <w:lang w:eastAsia="ru-RU"/>
        </w:rPr>
        <w:t>й</w:t>
      </w:r>
      <w:r>
        <w:rPr>
          <w:sz w:val="28"/>
          <w:szCs w:val="28"/>
        </w:rPr>
        <w:t xml:space="preserve"> орган.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</w:t>
      </w:r>
      <w:r>
        <w:rPr>
          <w:b/>
          <w:sz w:val="28"/>
          <w:szCs w:val="28"/>
        </w:rPr>
        <w:t xml:space="preserve">. Доклад об антимонопольном комплаенсе </w:t>
      </w:r>
      <w:r>
        <w:rPr>
          <w:sz w:val="28"/>
          <w:szCs w:val="28"/>
        </w:rPr>
        <w:t>согласно Положения об антимонопольном комплаенсе содерж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ит</w:t>
      </w:r>
      <w:r>
        <w:rPr>
          <w:sz w:val="28"/>
          <w:szCs w:val="28"/>
        </w:rPr>
        <w:t>: а)информацию о результатах проведенной оценки комплаенс-рисков; б)информацию об исполнении мероприятий по снижению комплаенс-рисков; в)информацию о достижении ключевых показателей эффективности антимонопольного комплаенса.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Для обеспечения проведения закупок работ товаров и услуг для обеспечения муниципальных нужд в Местной администрации Качинского муниципального округ назначены  должностные лица. ответственные за осуществление закупок (контрактных управляющих) - Распоряжения №07-МА от 15.01.2020г.  и №87-МА от 10.08.2021г.</w:t>
      </w:r>
    </w:p>
    <w:p>
      <w:pPr>
        <w:pStyle w:val="NormalWeb"/>
        <w:spacing w:lineRule="auto" w:line="360" w:beforeAutospacing="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lineRule="auto" w:line="360" w:beforeAutospacing="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ИНФОРМАЦИЯ О РЕЗУЛЬТАТАХ ПРОВЕДЕННОЙ ОЦЕНКИ КОМПЛАЕНС-РИСКОВ</w:t>
      </w:r>
    </w:p>
    <w:p>
      <w:pPr>
        <w:pStyle w:val="NormalWeb"/>
        <w:spacing w:lineRule="auto" w:line="360" w:beforeAutospacing="0" w:before="0" w:after="0"/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целях оценки рисков нарушения местной администрацией К</w:t>
      </w:r>
      <w:r>
        <w:rPr>
          <w:rFonts w:eastAsia="Times New Roman" w:cs="Times New Roman"/>
          <w:sz w:val="28"/>
          <w:szCs w:val="28"/>
          <w:lang w:eastAsia="ru-RU"/>
        </w:rPr>
        <w:t>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 xml:space="preserve"> антимонопольного законодательства (комплаенс-рисков) уполномоченным </w:t>
      </w:r>
      <w:r>
        <w:rPr>
          <w:rFonts w:eastAsia="Times New Roman" w:cs="Times New Roman"/>
          <w:sz w:val="28"/>
          <w:szCs w:val="28"/>
          <w:lang w:eastAsia="ru-RU"/>
        </w:rPr>
        <w:t>лицом</w:t>
      </w:r>
      <w:r>
        <w:rPr>
          <w:sz w:val="28"/>
          <w:szCs w:val="28"/>
        </w:rPr>
        <w:t xml:space="preserve"> в лице </w:t>
      </w:r>
      <w:r>
        <w:rPr>
          <w:rFonts w:eastAsia="Times New Roman" w:cs="Times New Roman"/>
          <w:sz w:val="28"/>
          <w:szCs w:val="28"/>
          <w:lang w:eastAsia="ru-RU"/>
        </w:rPr>
        <w:t xml:space="preserve">начальника общего отдела </w:t>
      </w:r>
      <w:r>
        <w:rPr>
          <w:sz w:val="28"/>
          <w:szCs w:val="28"/>
        </w:rPr>
        <w:t>в 202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sz w:val="28"/>
          <w:szCs w:val="28"/>
        </w:rPr>
        <w:t xml:space="preserve"> году был проведен анализ факторов, событий и обстоятельств, которые влияют на совершение таких нарушений, а именно: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проанализированы сведения о нарушениях антимонопольного законодательства;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проанализировано законодательство Российской Федерации, проведена работа по выявлению комплаенс-рисков и учету обстоятельств, связанных с комплаенс-рисками, определена вероятность возникновения комплаенс-рисков, разработаны, а затем представлены на утверждение главе </w:t>
      </w:r>
      <w:r>
        <w:rPr>
          <w:rFonts w:eastAsia="Times New Roman" w:cs="Times New Roman"/>
          <w:sz w:val="28"/>
          <w:szCs w:val="28"/>
          <w:lang w:eastAsia="ru-RU"/>
        </w:rPr>
        <w:t>Качинского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>: 1) карта рисков нарушения антимонопольного законодательства; 2) план мероприятий («дорожная карта») по снижению рисков нарушения антимонопольного законодательства; 3) ключевые показатели эффективности функционирования антимонопольного комплаенса ;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проводилось консультирование специалистов местной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 xml:space="preserve"> по вопросам, связанным с соблюдением антимонопольного законодательства и антимонопольным комплаенсом.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комплаенс-рисками понимались те потенциально возможные события, обстоятельства, факторы, поддающиеся определению и оценке, которые влияют на наступление такого неблагоприятного события как нарушение местной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 xml:space="preserve"> антимонопольного законодательства.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срок не позднее 01 февраля года, следующего за отчетным, </w:t>
      </w:r>
      <w:r>
        <w:rPr>
          <w:rFonts w:eastAsia="Times New Roman" w:cs="Times New Roman"/>
          <w:sz w:val="28"/>
          <w:szCs w:val="28"/>
          <w:lang w:eastAsia="ru-RU"/>
        </w:rPr>
        <w:t>уполномоченными лицами местной администрации Качинского муниципального округа проведен мониторинг  и анализ применения практики применения органами местного самоуправления антимонопольного законодательства.</w:t>
      </w:r>
      <w:r>
        <w:rPr>
          <w:sz w:val="28"/>
          <w:szCs w:val="28"/>
        </w:rPr>
        <w:t xml:space="preserve"> 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Web"/>
        <w:spacing w:beforeAutospacing="0"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Анализ выявленных рисков нарушений</w:t>
      </w:r>
    </w:p>
    <w:p>
      <w:pPr>
        <w:pStyle w:val="NormalWeb"/>
        <w:spacing w:beforeAutospacing="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антимонопольного законодательства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b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деятельности местной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 xml:space="preserve">, в том числе в общем </w:t>
      </w:r>
      <w:r>
        <w:rPr>
          <w:rFonts w:eastAsia="Times New Roman" w:cs="Times New Roman"/>
          <w:sz w:val="28"/>
          <w:szCs w:val="28"/>
          <w:lang w:eastAsia="ru-RU"/>
        </w:rPr>
        <w:t>отдел, отделе исполнения отдельных государ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 xml:space="preserve">твенных полномочий, финансово-экономическом отделе и бухгалтерии местной администрации Качинского муниципального округа  </w:t>
      </w:r>
      <w:r>
        <w:rPr>
          <w:rFonts w:eastAsia="Times New Roman" w:cs="Times New Roman"/>
          <w:sz w:val="28"/>
          <w:szCs w:val="28"/>
          <w:lang w:eastAsia="ru-RU"/>
        </w:rPr>
        <w:t>за отчетный период</w:t>
      </w:r>
    </w:p>
    <w:tbl>
      <w:tblPr>
        <w:tblStyle w:val="a9"/>
        <w:tblW w:w="97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891"/>
        <w:gridCol w:w="3288"/>
      </w:tblGrid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нарушения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допускались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2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антимонопольным органом дела о нарушении антимонопольного законодательства 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возбуждались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3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предупреждения о прекращении действий (бездействия), которые содержат признаки нарушения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выдавались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привлечения к административной ответственности в виде наложения административных штрафов на должностных лиц или в виде их дисквалификации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5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случаев обжалования в судебных органах действий (бездействий) должностных лиц  и (или) правовых актов, связанных с несоблюдением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имеется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предупреждения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предостережения о недопустимости совершения действий, которые могут привести к нарушению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судебные акты о признании  действий (решений) органов местного самоуправления либо должностных лиц - незаконными, которые привели к нарушению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отсутствуют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9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каких-либо писем, публичных заявлений, направленных на регулирование отношений, связанных с защитой конкуренции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было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10</w:t>
            </w:r>
          </w:p>
        </w:tc>
        <w:tc>
          <w:tcPr>
            <w:tcW w:w="5891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предложений по включению в нормативные правовые акты каких-либо правил, регулирующих отношения в сфере антимонопольного законодательства </w:t>
            </w:r>
          </w:p>
        </w:tc>
        <w:tc>
          <w:tcPr>
            <w:tcW w:w="328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не направлено</w:t>
            </w:r>
          </w:p>
        </w:tc>
      </w:tr>
    </w:tbl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 закупок товаров, работ, услуг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За отчетный период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проверки в сфере закупок товаров, работ, услуг</w:t>
      </w:r>
      <w:r>
        <w:rPr>
          <w:sz w:val="28"/>
          <w:szCs w:val="28"/>
        </w:rPr>
        <w:t xml:space="preserve"> для обеспечения нужд местной администрации </w:t>
      </w:r>
      <w:r>
        <w:rPr>
          <w:rFonts w:eastAsia="Times New Roman" w:cs="Times New Roman"/>
          <w:sz w:val="28"/>
          <w:szCs w:val="28"/>
          <w:lang w:eastAsia="ru-RU"/>
        </w:rPr>
        <w:t>Качинского</w:t>
      </w:r>
      <w:r>
        <w:rPr>
          <w:sz w:val="28"/>
          <w:szCs w:val="28"/>
        </w:rPr>
        <w:t xml:space="preserve"> муниципального </w:t>
      </w:r>
      <w:r>
        <w:rPr>
          <w:rFonts w:eastAsia="Times New Roman" w:cs="Times New Roman"/>
          <w:sz w:val="28"/>
          <w:szCs w:val="28"/>
          <w:lang w:eastAsia="ru-RU"/>
        </w:rPr>
        <w:t>округа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не проводились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За период с 2019 года по настоящее время на действия местной администрации были поданы следующие жалобы: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.Жалоба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ИП Саранина Инна Ивановна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 на действия Местной администрации Качинского муниципального округа на нарушения Федерального закона "О контрактной системе в сфере закупок товаров, работ, услуг для обеспечения государственных и муниципальных нужд" от 05.04.2013г. №44-ФЗ,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при проведении электронно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го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аукциона  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обеспечение и реализацию мероприятий по обустройству и ремонту тротуаров  была подана 29.03.2019г. №0996с в Управление Федеральной антимонопольной службы по Республике Крым и городу Севастополю.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Согласно Решению Управления Федеральной антимонопольной службы по Республике Крым и городу Севастополю  (Крымское УФАС России)№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8/1291с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от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08.04.2019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по делу №0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8/0192-19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 нарушении законодательства об осуществлении закупок признана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не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обоснованной.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Решение вступило в законную силу. Ограничения, установленные уведомлением Крымского УФАС России о принятии жалобы к рассмотрению,  сняты.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Жалоба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ООО "К-сервис"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на действия Местной администрации Качинского муниципального округа на нарушения Федерального закона "О контрактной системе в сфере закупок товаров, работ, услуг для обеспечения государственных и муниципальных нужд" от 05.04.2013г. №44-ФЗ, при проведении электронно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го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аукциона  на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обеспечение и реализацию мероприятий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на оказание услуг по созданию зеленых насаждений, обеспечению ухода за ними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была подана 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27.10.2020г.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№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7044с</w:t>
      </w: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в Управление Федеральной антимонопольной службы по Республике Крым и городу Севастополю.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Согласно Решению Управления Федеральной антимонопольной службы по Республике Крым и городу Севастополю  (Крымское УФАС России)№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8/5135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от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31.10.2019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по делу №0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8/0771-19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о нарушении законодательства об осуществлении закупок признана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не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обоснованной.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Решение вступило в законную силу. Ограничения, установленные уведомлением Крымского УФАС России о принятии жалобы к рассмотрению,  сняты.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3.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Жалоба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ООО "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БГС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" на действия Местной администрации Качинского муниципального округа на нарушения Федерального закона "О контрактной системе в сфере закупок товаров, работ, услуг для обеспечения государственных и муниципальных нужд" от 05.04.2013г. №44-ФЗ,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при проведении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запроса котировок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на оказание услуг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по удалению твердых коммунальных отходов, в том числе с мест несанкционированных и бесхозных свалок, их транспортировке для утилизации  была подана 04.03.2020 №0659с в Управление Федеральной антимонопольной службы по Республике Крым и городу Севастополю (Крымское УФАС России).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Согласно Решению Управления Федеральной антимонопольной службы по Республике Крым и городу Севастополю  (Крымское УФАС России)№8/1003с от 16.03.2020 по делу №092/06/105-100/2020 о нарушении законодательства об осуществлении закупок признана необоснованной.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 w:eastAsia="Calibri" w:cs="Times New Roman" w:eastAsiaTheme="minorHAnsi"/>
          <w:b w:val="false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Решение вступило в законную силу. Ограничения, установленные уведомлением Крымского УФАС России о принятии жалобы к рассмотрению,  сняты.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4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.Жалоба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 xml:space="preserve">ООО "Джули" на действия Местной администрации Качинского муниципального округа на нарушения Федерального закона "О контрактной системе в сфере закупок товаров, работ, услуг для обеспечения государственных и муниципальных нужд" от 05.04.2013г. №44-ФЗ,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при проведении электронно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го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аукциона  на оказание услуг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по содержанию зеленых насаждений, обеспечение ухода за ними  была подана 27.05.2021г. №1934с в Управление Федеральной антимонопольной службы по Республике Крым.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Согласно Решению Управления Федеральной антимонопольной службы по Республике Крым и городу Севастополю  (Крымское УФАС России)№8/1871с от 07.06.2021 по делу №092/06/105-159/2021 о нарушении законодательства об осуществлении закупок признана обоснованной.</w:t>
      </w:r>
    </w:p>
    <w:p>
      <w:pPr>
        <w:pStyle w:val="Normal"/>
        <w:spacing w:lineRule="auto" w:line="360" w:before="0" w:after="0"/>
        <w:ind w:firstLine="851"/>
        <w:jc w:val="both"/>
        <w:rPr>
          <w:b w:val="false"/>
          <w:b w:val="false"/>
          <w:bCs w:val="false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Заказчику выдано обязательное для исполнения предписание об устранении выявленных нарушений. Мероприятия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предписания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выполнены в полном объеме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, а именно: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4.1 Отменены протоколы, составленные  в ходе определения поставщика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4.2. Внесены изменения в документацию об Электронном аукционе.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4.3. Установлены новые сроки подачи заявок на участие в электронном аукционе.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 о выполнении предписания направлена 30.06.2021г. за исх. №852. производство по делу об административном правонарушении прекращено в связи с малозначительностью совершенного административного правонарушения.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Информация размещена на официальном сайте Единой информационной системы  в сфере закупок.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Во исполнение Федерального Закона "О контрактной системе в сфере закупок товаров, работ, услуг для обеспечения государственных и муниципальных нужд" от 05.04.2013 №44-ФЗ в рамках полномочий ответственными должностными лицами Местной администрации Качинского муниципального округа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в Федеральную антимонопольную службу по Республике Крым и городу Севастополю (Крымское УФАС России) была направлена информация о включении в Реестр недобросовестных поставщиков в связи с  односторонним отказом заказчика от исполнения контрактов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ФЛ Нештенко О.В., ИП Блох Д.Х. По результатам рассмотрения вышеуказанных материалов данные субъект включены в Реестр недобросовестных поставщиков.</w:t>
      </w:r>
    </w:p>
    <w:p>
      <w:pPr>
        <w:pStyle w:val="NormalWeb"/>
        <w:spacing w:lineRule="auto" w:line="360" w:beforeAutospacing="0" w:before="0" w:after="0"/>
        <w:ind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судебной практики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дел по вопросам применения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местной администрации Качинского муниципального округа </w:t>
      </w:r>
      <w:r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возможного нарушения норм антимонопольного законодательства в судебных инстанциях - не осуществлялось</w:t>
      </w:r>
      <w:r>
        <w:rPr>
          <w:sz w:val="28"/>
          <w:szCs w:val="28"/>
        </w:rPr>
        <w:t>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19</w:t>
      </w:r>
      <w:r>
        <w:rPr>
          <w:sz w:val="28"/>
          <w:szCs w:val="28"/>
        </w:rPr>
        <w:t xml:space="preserve"> год — 0% (0 дел).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20</w:t>
      </w:r>
      <w:r>
        <w:rPr>
          <w:sz w:val="28"/>
          <w:szCs w:val="28"/>
        </w:rPr>
        <w:t xml:space="preserve"> год — 0% (0 дел).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</w:rPr>
        <w:t xml:space="preserve"> год — 0% (0 дел).</w:t>
      </w:r>
    </w:p>
    <w:p>
      <w:pPr>
        <w:pStyle w:val="NormalWeb"/>
        <w:spacing w:lineRule="auto" w:line="360" w:beforeAutospacing="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Анализ нормативных правовых актов 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проектов нормативных правовых актов </w:t>
      </w:r>
    </w:p>
    <w:p>
      <w:pPr>
        <w:pStyle w:val="Normal"/>
        <w:spacing w:lineRule="auto" w:line="36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Все МНПА размещены на официальном сайте ВМО Качинского МО в информационно-телекоммуникационной сети «Интернет».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проведении анализа нормативно правовых актов доля НПА с выявленными нарушениями - 0% от общего числа.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Федеральной антимонопольной службой утверждены перечни нормативных правовых актов, содержащих обязательные требования, соблюдение которых оценивается при проведении ФАС России мероприятий по контролю (надзору)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С целью проведения анализа нормативно-правовых актов Местной администрации Качинского муниципального округа на предмет их соответствия антимонопольному законодательству в сети интернет на официальном сайте внутригородского муниципального образования Качинский муниципальный округ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размещено уведомление 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пров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едении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сбор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замечаний и предложений организаций и граждан по перечню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нормативно-правовых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актов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местной администрации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 Срок проведения сбора замечаний и предложений  определен на период с мая по август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2021. Замечаний и предложений не проступало.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Местной администрацией Качинского муниципального округа приняты и размещены на официальном сайте внутригородского муниципального образования города Севастополя Качинский муниципальный округ следующие нормативно-правовые акты, соответствующие антимонопольному законодательству: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1. Постановление Местной администрации Качинского муниципального округа № 34-МА от 28.07.2016г. "Об утверждении требований к закупаемым местной администрацией Качинского муниципального округа отдельным видам товаров, работ, услуг (в том числе предельные цены товаров, работ, услуг)"- признано утратившим силу.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2. Постановление Местной администрации Качинского муниципального округа № 8-МА от 10.01.2019г.  "Об утверждении нормативных затрат на обеспечение функций местной администрации Качинского муниципального округа  города Севастополя"- признано утратившим силу.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3. Постановление Местной администрации Качинского муниципального округа № 10/1-МА от 13.01.2020г. "Об утверждении нормативных затрат на обеспечение функций местной администрации Качинского муниципального округа  города Севастополя"- признано утратившим силу.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Постановление Местной администрации Качинского муниципального округа № 09/1-МА от 19.01.2021г. "Об утверждении нормативных затрат на обеспечение функций местной администрации Качинского муниципального округа  города Севастополя"- признано утратившим силу.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5. Постановление Местной администрации Качинского муниципального округа № 14-МА от 17.01.2022г. "Об утверждении нормативных затрат на обеспечение функций местной администрации Качинского муниципального округа  города Севастополя".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III.</w:t>
      </w:r>
      <w:r>
        <w:rPr>
          <w:b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ИНФОРМАЦИЯ ОБ ИСПОЛНЕНИИ МЕРОПРИЯТИЙ («ДОРОЖНОЙ КАРТЫ») ПО СНИЖЕНИЮ КОМПЛАЕНС-РИСКОВ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план мероприятий («дорожная карта») по снижению комплаенс-рисков утвержден в декабре 2021 года, информация о частичном исполнении представлена в таблице. </w:t>
      </w:r>
    </w:p>
    <w:tbl>
      <w:tblPr>
        <w:tblStyle w:val="a9"/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2409"/>
        <w:gridCol w:w="5811"/>
        <w:gridCol w:w="1418"/>
      </w:tblGrid>
      <w:tr>
        <w:trPr>
          <w:trHeight w:val="1320" w:hRule="atLeast"/>
        </w:trPr>
        <w:tc>
          <w:tcPr>
            <w:tcW w:w="534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>п.п.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>Риски нарушения антимонопольного законодательства</w:t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>/функции уполномоченного органа</w:t>
            </w:r>
          </w:p>
        </w:tc>
        <w:tc>
          <w:tcPr>
            <w:tcW w:w="5811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ConsPlusNormal"/>
              <w:widowControl w:val="false"/>
              <w:suppressAutoHyphens w:val="true"/>
              <w:spacing w:before="0" w:after="0"/>
              <w:ind w:right="-108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>Описание конкретных действий (мероприятий), направленных на минимизацию и устранение рисков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Исполнение мероприятий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bidi="ar-SA"/>
              </w:rPr>
              <w:t>функц. органами и функц. подраздел.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1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Заключение соглашений, ограничивающих конкуренцию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1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1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для сотрудников обучающих мероприятий по практике применения антимонопольного законодательства и антимонопольному комплаенсу.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1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квалификации должностных лиц.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1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ConsPlus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21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 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2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Разработка и принятие нормативных правовых актов (далее - НПА), положения которых могут привести к ограничению, устранению или недопущению конкуренции</w:t>
            </w:r>
          </w:p>
        </w:tc>
        <w:tc>
          <w:tcPr>
            <w:tcW w:w="5811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5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текущего мониторинга и анализа НПА на предмет их соответствия антимонопольному законодательству, внесение соответствующих изменений в НПА в случае обнаружения в них несоответствия антимонопольному законодательству.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5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квалификации должностных лиц.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5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35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Анализ проектов НПА на соответствие требованиям антимонопольного законодательства.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29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контроля со стороны руководителя.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ind w:left="29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Размещение на сайте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ВМО Качинского МО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НПА для оценки рисков.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3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Нарушения при осуществлении закупок товаров, работ, услуг для обеспечения муниципальных нужд.</w:t>
            </w:r>
          </w:p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11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текущего мониторинга и анализа изменений законодательства и правоприменительной практики в сфере закупок, организации конкурентных процедур и защиты конкуренции.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текущего мониторинга и анализа выявленных нарушений антимонопольного законодательства при проведении закупок товаров, работ, услуг.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разъяснительной работы среди сотрудников контрактной службы о недопущении нарушений в сфере антимонопольного законодательства.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квалификации должностных лиц.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Повышение уровня контроля со стороны руководителя.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Размещение информации о проведении конкурентных процедур в единой информационной системе с целью обеспечения максимальной доступности информации и прозрачности для участников закупок.</w:t>
            </w:r>
          </w:p>
          <w:p>
            <w:pPr>
              <w:pStyle w:val="ConsPlusNormal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28"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Проведение экспертизы проектов документации о закупках на соответствие требованиям антимонопольного законодательства.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 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4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Предоставление муниципальной преференции</w:t>
            </w:r>
          </w:p>
        </w:tc>
        <w:tc>
          <w:tcPr>
            <w:tcW w:w="5811" w:type="dxa"/>
            <w:tcBorders/>
          </w:tcPr>
          <w:p>
            <w:pPr>
              <w:pStyle w:val="Style21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7" w:right="34" w:firstLine="1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квалификации должностных лиц.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7" w:right="34" w:firstLine="1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7" w:right="34" w:firstLine="1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контроля со стороны руководителя.</w:t>
            </w:r>
          </w:p>
          <w:p>
            <w:pPr>
              <w:pStyle w:val="Style21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7" w:right="34" w:firstLine="1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Анализ проектов НПА на соответствие требованиям антимонопольного законодательства.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 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5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Необоснованное воспрепятствование осуществлению деятельности хозяйствующими субъектами  </w:t>
            </w:r>
          </w:p>
        </w:tc>
        <w:tc>
          <w:tcPr>
            <w:tcW w:w="5811" w:type="dxa"/>
            <w:tcBorders/>
          </w:tcPr>
          <w:p>
            <w:pPr>
              <w:pStyle w:val="Style21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Style21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контроля со стороны руководителя.</w:t>
            </w:r>
          </w:p>
          <w:p>
            <w:pPr>
              <w:pStyle w:val="Style21"/>
              <w:widowControl w:val="false"/>
              <w:suppressAutoHyphens w:val="true"/>
              <w:spacing w:lineRule="auto" w:line="240" w:before="0" w:after="0"/>
              <w:ind w:left="28" w:right="3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Исполнено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Подготовка протоколов и официальных писем, положения которых могут создать необоснованные конкурентные преимущества на товарных рынках одному из хозяйствующих субъектов</w:t>
            </w:r>
          </w:p>
        </w:tc>
        <w:tc>
          <w:tcPr>
            <w:tcW w:w="5811" w:type="dxa"/>
            <w:tcBorders/>
          </w:tcPr>
          <w:p>
            <w:pPr>
              <w:pStyle w:val="Style2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квалификации должностных лиц.</w:t>
            </w:r>
          </w:p>
          <w:p>
            <w:pPr>
              <w:pStyle w:val="Style2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Style21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8" w:right="34" w:hanging="0"/>
              <w:rPr>
                <w:b/>
                <w:b/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Исполнено частично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before="0" w:after="0"/>
              <w:ind w:right="-108" w:hanging="0"/>
              <w:jc w:val="both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409" w:type="dxa"/>
            <w:tcBorders/>
          </w:tcPr>
          <w:p>
            <w:pPr>
              <w:pStyle w:val="ConsPlus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before="0" w:after="0"/>
              <w:ind w:right="34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Наделение хозяйствующего субъекта, созданного в форме учреждения, функциями, связанными с осуществлением полномочий на конкурентных рынках</w:t>
            </w:r>
          </w:p>
        </w:tc>
        <w:tc>
          <w:tcPr>
            <w:tcW w:w="5811" w:type="dxa"/>
            <w:tcBorders/>
          </w:tcPr>
          <w:p>
            <w:pPr>
              <w:pStyle w:val="Style21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эффективности процесса управления.</w:t>
            </w:r>
          </w:p>
          <w:p>
            <w:pPr>
              <w:pStyle w:val="Style21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28" w:right="34" w:hanging="0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Повышение уровня контроля со стороны руководителя.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Исполнено  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Проведение анализа выявленных нарушений антимонопольного законодательства в деятельности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  <w:t>местной администрации \Качинского муниципального округа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49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Сбор сведений о наличии нарушений антимонопольного законодательства.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before="0" w:after="0"/>
              <w:ind w:left="49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 xml:space="preserve">Составление перечня нарушений антимонопольного законодательства, который содержит классифицированные по сферам деятельности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МА</w:t>
            </w:r>
            <w:r>
              <w:rPr>
                <w:kern w:val="0"/>
                <w:sz w:val="20"/>
                <w:lang w:val="ru-RU" w:bidi="ar-SA"/>
              </w:rPr>
      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      </w:r>
            <w:r>
              <w:rPr>
                <w:kern w:val="0"/>
                <w:sz w:val="20"/>
                <w:lang w:val="ru-RU" w:bidi="ar-SA"/>
              </w:rPr>
              <w:t>МА</w:t>
            </w:r>
            <w:r>
              <w:rPr>
                <w:kern w:val="0"/>
                <w:sz w:val="20"/>
                <w:lang w:val="ru-RU" w:bidi="ar-SA"/>
              </w:rPr>
              <w:t>, сведения о мерах по устранению нарушения, сведения о мерах, направленных на недопущение повторения нарушения.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Исполнено  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Проведение мониторинга и анализа практики применения антимонопольного законодательства 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ind w:left="49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Сбор на постоянной основе сведений о правоприменительной практике в органах местного самоуправления (в части соответствующих обзоров и обобщений ФАС России);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before="0" w:after="0"/>
              <w:ind w:left="49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Подготовка по итогам сбора информации аналитической справки об изменениях и основных аспектах правоприменительной практики в органах местного самоуправления.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769" w:right="34" w:hanging="0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Исполнено  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Разработка и утверждение Плана мероприятий («дорожной карты») по снижению рисков нарушения антимонопольного законодательства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Составление перечня мероприятий по снижению рисков нарушения антимонопольного законодательства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360"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 xml:space="preserve">Исполнено  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Подготовка доклада об антимонопольном комплаенсе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before="0" w:after="0"/>
              <w:ind w:left="27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Составление доклада об антимонопольном комплаенсе.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before="0" w:after="0"/>
              <w:ind w:left="27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Представление доклада об антимонопольном комплаенсе в коллегиальный орган для его утверждения.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before="0" w:after="0"/>
              <w:ind w:left="29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 xml:space="preserve">Размещение доклада об антимонопольном комплаенсе на сайте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ВМО Качинского МО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360"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57" w:leader="none"/>
                <w:tab w:val="left" w:pos="225" w:leader="none"/>
              </w:tabs>
              <w:suppressAutoHyphens w:val="true"/>
              <w:spacing w:lineRule="auto" w:line="240" w:before="0" w:after="0"/>
              <w:ind w:right="-108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160" w:leader="none"/>
              </w:tabs>
              <w:suppressAutoHyphens w:val="true"/>
              <w:spacing w:lineRule="auto" w:line="240" w:before="0" w:after="0"/>
              <w:ind w:right="34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Внесение изменений в должностные регламенты (должностные инструкции) муниципальных служащих (работников)  в части требований о знании и изучении антимонопольного законодательства</w:t>
            </w:r>
          </w:p>
        </w:tc>
        <w:tc>
          <w:tcPr>
            <w:tcW w:w="5811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27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1.</w:t>
              <w:tab/>
              <w:t>Повышение эффективности процесса управления.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27" w:right="34" w:hanging="0"/>
              <w:contextualSpacing/>
              <w:jc w:val="both"/>
              <w:rPr>
                <w:sz w:val="20"/>
              </w:rPr>
            </w:pPr>
            <w:r>
              <w:rPr>
                <w:kern w:val="0"/>
                <w:sz w:val="20"/>
                <w:lang w:val="ru-RU" w:bidi="ar-SA"/>
              </w:rPr>
              <w:t>2.</w:t>
              <w:tab/>
              <w:t>Повышение уровня контроля со стороны руководителя.</w:t>
            </w:r>
          </w:p>
        </w:tc>
        <w:tc>
          <w:tcPr>
            <w:tcW w:w="1418" w:type="dxa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0" w:after="0"/>
              <w:ind w:right="-108" w:hanging="0"/>
              <w:jc w:val="both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Исполнено  частично</w:t>
            </w:r>
          </w:p>
        </w:tc>
      </w:tr>
    </w:tbl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возможности проявления рисков нарушения антимонопольного законодательства  предусмотрены следующие мероприятия: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обучение сотрудников требованиям антимонопольного законодательства и антимонопольного комплаенса;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повышение квалификации сотрудников;</w:t>
      </w:r>
    </w:p>
    <w:p>
      <w:pPr>
        <w:pStyle w:val="NormalWeb"/>
        <w:spacing w:lineRule="auto" w:line="360" w:beforeAutospacing="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усиление внутреннего контроля за: а) подготовкой конкурентных процедур и закупок у единственного поставщика (подрядчика, исполнителя) в соответствии с Федеральным законом № 44-ФЗ; б) разработкой нормативных правовых актов в части осуществления закупок товаров, работ, услуг.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Риски</w:t>
      </w:r>
      <w:r>
        <w:rPr/>
        <w:t xml:space="preserve"> </w:t>
      </w:r>
      <w:r>
        <w:rPr>
          <w:b/>
          <w:sz w:val="28"/>
          <w:szCs w:val="28"/>
        </w:rPr>
        <w:t>нарушения антимонопольного законодательства,</w:t>
      </w:r>
      <w:r>
        <w:rPr>
          <w:sz w:val="28"/>
          <w:szCs w:val="28"/>
        </w:rPr>
        <w:t xml:space="preserve"> предусмотренные в таблице, по итогу отчетного года </w:t>
      </w:r>
      <w:r>
        <w:rPr>
          <w:b/>
          <w:sz w:val="28"/>
          <w:szCs w:val="28"/>
        </w:rPr>
        <w:t>не наступили.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Предложения в карту комплаенс-рисков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местной администрации Качинского муниципального округ</w:t>
      </w:r>
      <w:r>
        <w:rPr>
          <w:rFonts w:eastAsia="Times New Roman" w:cs="Times New Roman"/>
          <w:sz w:val="28"/>
          <w:szCs w:val="28"/>
          <w:lang w:eastAsia="ru-RU"/>
        </w:rPr>
        <w:t xml:space="preserve"> по отделам 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отсутствуют.</w:t>
      </w:r>
    </w:p>
    <w:p>
      <w:pPr>
        <w:pStyle w:val="NormalWeb"/>
        <w:spacing w:lineRule="auto" w:line="360" w:beforeAutospacing="0" w:before="0" w:after="0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Предложения в план мероприятий («дорожную карту»)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eastAsia="Times New Roman" w:cs="Times New Roman"/>
          <w:sz w:val="28"/>
          <w:szCs w:val="28"/>
          <w:lang w:eastAsia="ru-RU"/>
        </w:rPr>
        <w:t xml:space="preserve"> по отделам МА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отсутствуют.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IV. ИНФОРМАЦИЯ О ДОСТИЖЕНИИ КЛЮЧЕВЫХ ПОКАЗАТЕЛЕЙ ЭФФЕКТИВНОСТИ АНТИМОНОПОЛЬНОГО КОМПЛАЕНСА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Ключевыми показателями эффективности функционирования антимонопольного комплаенса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местной администрации Качинского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являются: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Коэффициент снижения количества нарушений антимонопольного законодательства по сравнению с предыдущим годом;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Доля проектов нормативных правовых актов, в которых выявлены риски нарушения антимонопольного законодательства;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Доля нормативных правовых актов, в которых выявлены риски нарушения антимонопольного законодательства;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Доля сотрудников, в отношении которых были проведены обучающие мероприятия по практике применения антимонопольного законодательства и антимонопольному комплаенсу.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 оценке эффективности деятельности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местной администрации Качинского муниципального округа </w:t>
      </w:r>
      <w:r>
        <w:rPr>
          <w:rFonts w:cs="Times New Roman" w:ascii="Times New Roman" w:hAnsi="Times New Roman"/>
          <w:sz w:val="28"/>
          <w:szCs w:val="28"/>
        </w:rPr>
        <w:t>используется методика расчета ключевых показателей эффективности функционирования антимонопольного комплаенса, утвержденная Приказом Федеральной антимонопольной службы от 05 февраля 2019 г. № 133/19.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За отчетный период в деятельности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, в проектах нормативных правовых актов, в нормативных правовых актах,  нарушений антимонопольного законодательства </w:t>
      </w:r>
      <w:r>
        <w:rPr>
          <w:rFonts w:cs="Times New Roman" w:ascii="Times New Roman" w:hAnsi="Times New Roman"/>
          <w:b/>
          <w:sz w:val="28"/>
          <w:szCs w:val="28"/>
        </w:rPr>
        <w:t>не выявлено</w:t>
      </w:r>
      <w:r>
        <w:rPr>
          <w:rFonts w:cs="Times New Roman" w:ascii="Times New Roman" w:hAnsi="Times New Roman"/>
          <w:sz w:val="28"/>
          <w:szCs w:val="28"/>
        </w:rPr>
        <w:t xml:space="preserve">. Доля сотрудников, в отношении которых были проведены обучающие мероприятия по практике применения антимонопольного законодательства и антимонопольному комплаенсу </w:t>
      </w:r>
      <w:r>
        <w:rPr>
          <w:rFonts w:cs="Times New Roman" w:ascii="Times New Roman" w:hAnsi="Times New Roman"/>
          <w:sz w:val="28"/>
          <w:szCs w:val="28"/>
        </w:rPr>
        <w:t xml:space="preserve">не проводились, в 2021 году прошли повышение квалификации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 (двое) муниципальных служащих, должностные обязанности которых предусматривают выполнение функций, связанных с рисками нарушения антимонопольного законодательства по теме: "Управление государственными и муниципальными закупками"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Ключевые показатели эффективности функционирования антимонопольного комплаенса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sz w:val="28"/>
          <w:szCs w:val="28"/>
        </w:rPr>
        <w:t>достигнуты.</w:t>
      </w:r>
      <w:r>
        <w:rPr>
          <w:rFonts w:cs="Times New Roman" w:ascii="Times New Roman" w:hAnsi="Times New Roman"/>
          <w:sz w:val="28"/>
          <w:szCs w:val="28"/>
        </w:rPr>
        <w:t xml:space="preserve"> Результат оценки ключевых показателей эффективности функционирования антимонопольного комплаенса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b/>
          <w:sz w:val="28"/>
          <w:szCs w:val="28"/>
        </w:rPr>
        <w:t>высокий.</w:t>
      </w:r>
    </w:p>
    <w:p>
      <w:pPr>
        <w:pStyle w:val="Normal"/>
        <w:spacing w:lineRule="auto" w:line="36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Уровень риска нарушения</w:t>
      </w:r>
      <w:r>
        <w:rPr>
          <w:rFonts w:cs="Times New Roman" w:ascii="Times New Roman" w:hAnsi="Times New Roman"/>
          <w:sz w:val="28"/>
          <w:szCs w:val="28"/>
        </w:rPr>
        <w:t xml:space="preserve"> антимонопольного законодательства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за отчетный период </w:t>
      </w:r>
      <w:r>
        <w:rPr>
          <w:rFonts w:cs="Times New Roman" w:ascii="Times New Roman" w:hAnsi="Times New Roman"/>
          <w:sz w:val="28"/>
          <w:szCs w:val="28"/>
        </w:rPr>
        <w:t xml:space="preserve"> определен как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средний</w:t>
      </w:r>
      <w:r>
        <w:rPr>
          <w:rFonts w:cs="Times New Roman" w:ascii="Times New Roman" w:hAnsi="Times New Roman"/>
          <w:sz w:val="28"/>
          <w:szCs w:val="28"/>
        </w:rPr>
        <w:t xml:space="preserve">, так как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существует вероятность выдачи предупреждений и </w:t>
      </w:r>
      <w:r>
        <w:rPr>
          <w:rFonts w:cs="Times New Roman" w:ascii="Times New Roman" w:hAnsi="Times New Roman"/>
          <w:sz w:val="28"/>
          <w:szCs w:val="28"/>
        </w:rPr>
        <w:t>возбуждения дел о нарушении антимонопольного законодательства, наложение штрафов.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3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о проведении ознакомления служащих (работников) с антимонопольным комплаенсом, а также о проведении обучающих мероприятий 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отчетный период ситуации </w:t>
      </w:r>
      <w:r>
        <w:rPr>
          <w:rFonts w:cs="Times New Roman" w:ascii="Times New Roman" w:hAnsi="Times New Roman"/>
          <w:b/>
          <w:sz w:val="28"/>
          <w:szCs w:val="28"/>
        </w:rPr>
        <w:t>конфликта интересов</w:t>
      </w:r>
      <w:r>
        <w:rPr>
          <w:rFonts w:cs="Times New Roman" w:ascii="Times New Roman" w:hAnsi="Times New Roman"/>
          <w:sz w:val="28"/>
          <w:szCs w:val="28"/>
        </w:rPr>
        <w:t xml:space="preserve"> в деятельности муниципальных служащих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местной администрации Качинского муниципального округа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не возникали. 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 назначении на должность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муниципальной службы организовано ознакомление кандидатов с Положением </w:t>
      </w:r>
      <w:r>
        <w:rPr>
          <w:rFonts w:cs="Times New Roman" w:ascii="Book Antiqua" w:hAnsi="Book Antiqua"/>
          <w:b w:val="false"/>
          <w:i w:val="false"/>
          <w:iCs w:val="false"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 (антимонопольный коплаенс) в органах самоуправления внутригородского муниципального образования города Севастополя Качинский муниципальный округ</w:t>
      </w:r>
      <w:r>
        <w:rPr>
          <w:rFonts w:cs="Times New Roman" w:ascii="Times New Roman" w:hAnsi="Times New Roman"/>
          <w:sz w:val="28"/>
          <w:szCs w:val="28"/>
        </w:rPr>
        <w:t xml:space="preserve">. За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2021год</w:t>
      </w:r>
      <w:r>
        <w:rPr>
          <w:rFonts w:cs="Times New Roman" w:ascii="Times New Roman" w:hAnsi="Times New Roman"/>
          <w:sz w:val="28"/>
          <w:szCs w:val="28"/>
        </w:rPr>
        <w:t xml:space="preserve"> принято и </w:t>
      </w:r>
      <w:r>
        <w:rPr>
          <w:rFonts w:cs="Times New Roman" w:ascii="Times New Roman" w:hAnsi="Times New Roman"/>
          <w:b/>
          <w:sz w:val="28"/>
          <w:szCs w:val="28"/>
        </w:rPr>
        <w:t xml:space="preserve">ознакомлено 5 </w:t>
      </w:r>
      <w:r>
        <w:rPr>
          <w:rFonts w:cs="Times New Roman" w:ascii="Times New Roman" w:hAnsi="Times New Roman"/>
          <w:sz w:val="28"/>
          <w:szCs w:val="28"/>
        </w:rPr>
        <w:t>муниципальных служащих.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Положением об антимонопольном комплаенсе настоящий доклад представлен в Коллегиальный орган для оценки эффективности организации и функционирования антимонопольного комплаенса.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89" w:type="dxa"/>
        <w:jc w:val="left"/>
        <w:tblInd w:w="-2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495"/>
        <w:gridCol w:w="1555"/>
        <w:gridCol w:w="2839"/>
      </w:tblGrid>
      <w:tr>
        <w:trPr/>
        <w:tc>
          <w:tcPr>
            <w:tcW w:w="549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b/>
                <w:b/>
                <w:bCs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Book Antiqua" w:hAnsi="Book Antiqua" w:eastAsia="Times New Roman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5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8"/>
                <w:szCs w:val="28"/>
              </w:rPr>
            </w:pPr>
            <w:r>
              <w:rPr>
                <w:rFonts w:eastAsia="Times New Roman" w:cs="Book Antiqua" w:ascii="Book Antiqua" w:hAnsi="Book Antiqua"/>
                <w:color w:val="000000"/>
                <w:sz w:val="28"/>
                <w:szCs w:val="28"/>
              </w:rPr>
            </w:r>
          </w:p>
        </w:tc>
        <w:tc>
          <w:tcPr>
            <w:tcW w:w="2839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Book Antiqua"/>
                <w:color w:val="000000"/>
                <w:sz w:val="28"/>
                <w:szCs w:val="28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35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Исп. Чеплеева О.Н.</w:t>
      </w:r>
    </w:p>
    <w:p>
      <w:pPr>
        <w:pStyle w:val="Normal"/>
        <w:tabs>
          <w:tab w:val="clear" w:pos="709"/>
          <w:tab w:val="left" w:pos="135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73-41-32</w:t>
      </w:r>
    </w:p>
    <w:sectPr>
      <w:footerReference w:type="default" r:id="rId2"/>
      <w:type w:val="nextPage"/>
      <w:pgSz w:w="11906" w:h="16838"/>
      <w:pgMar w:left="1418" w:right="850" w:header="0" w:top="1134" w:footer="708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32907838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4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8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99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d019c"/>
    <w:rPr>
      <w:color w:val="000080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6d67a2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6d67a2"/>
    <w:rPr/>
  </w:style>
  <w:style w:type="character" w:styleId="Style17" w:customStyle="1">
    <w:name w:val="Основной текст Знак"/>
    <w:basedOn w:val="DefaultParagraphFont"/>
    <w:link w:val="aa"/>
    <w:qFormat/>
    <w:rsid w:val="0023471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8" w:customStyle="1">
    <w:name w:val="Текст выноски Знак"/>
    <w:basedOn w:val="DefaultParagraphFont"/>
    <w:link w:val="ad"/>
    <w:uiPriority w:val="99"/>
    <w:semiHidden/>
    <w:qFormat/>
    <w:rsid w:val="006623d6"/>
    <w:rPr>
      <w:rFonts w:ascii="Tahoma" w:hAnsi="Tahoma" w:cs="Tahoma"/>
      <w:sz w:val="16"/>
      <w:szCs w:val="16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link w:val="ab"/>
    <w:rsid w:val="0023471e"/>
    <w:pPr>
      <w:spacing w:lineRule="exact" w:line="36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bd019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6"/>
    <w:uiPriority w:val="99"/>
    <w:unhideWhenUsed/>
    <w:rsid w:val="006d67a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8"/>
    <w:uiPriority w:val="99"/>
    <w:unhideWhenUsed/>
    <w:rsid w:val="006d67a2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23471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3471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6623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b06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FBCB-5559-4538-8938-A628D565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Application>LibreOffice/7.1.1.2$Windows_X86_64 LibreOffice_project/fe0b08f4af1bacafe4c7ecc87ce55bb426164676</Application>
  <AppVersion>15.0000</AppVersion>
  <Pages>15</Pages>
  <Words>2864</Words>
  <Characters>22525</Characters>
  <CharactersWithSpaces>25225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2021-04-29T06:22:00Z</dcterms:created>
  <dc:creator>Дымова Анастасия Евгеньевна</dc:creator>
  <dc:description/>
  <dc:language>ru-RU</dc:language>
  <cp:lastModifiedBy/>
  <cp:lastPrinted>2021-03-04T06:55:00Z</cp:lastPrinted>
  <dcterms:modified xsi:type="dcterms:W3CDTF">2022-03-09T16:22:49Z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